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F39D" w14:textId="77777777" w:rsidR="00B01FCD" w:rsidRDefault="00B01FCD" w:rsidP="00A418D3">
      <w:pPr>
        <w:pStyle w:val="Title"/>
      </w:pPr>
      <w:r>
        <w:t>Type the Title of your Paper Here</w:t>
      </w:r>
    </w:p>
    <w:p w14:paraId="5AF4AD9B" w14:textId="04BF78CF" w:rsidR="009D5F0A" w:rsidRDefault="009D5F0A" w:rsidP="009D5F0A">
      <w:pPr>
        <w:pStyle w:val="Author"/>
      </w:pPr>
      <w:r>
        <w:t xml:space="preserve">Author, co-author </w:t>
      </w:r>
    </w:p>
    <w:p w14:paraId="7405F072" w14:textId="30BBE233" w:rsidR="006009F0" w:rsidRDefault="009D5F0A" w:rsidP="004F471A">
      <w:pPr>
        <w:pStyle w:val="Affiliation"/>
        <w:sectPr w:rsidR="006009F0" w:rsidSect="0006755B">
          <w:footerReference w:type="even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Affiliation </w:t>
      </w:r>
      <w:r w:rsidR="004F471A">
        <w:br/>
      </w:r>
    </w:p>
    <w:p w14:paraId="22E6459E" w14:textId="77777777" w:rsidR="00B01FCD" w:rsidRDefault="00B01FCD" w:rsidP="0006755B">
      <w:pPr>
        <w:pStyle w:val="Head1"/>
      </w:pPr>
      <w:r>
        <w:t>ABSTRACT</w:t>
      </w:r>
    </w:p>
    <w:p w14:paraId="77099024" w14:textId="77777777" w:rsidR="007029E1" w:rsidRDefault="006009F0" w:rsidP="00A418D3">
      <w:r>
        <w:t xml:space="preserve">Beginning </w:t>
      </w:r>
      <w:r w:rsidR="00145F4C">
        <w:t>August 2012</w:t>
      </w:r>
      <w:r>
        <w:t xml:space="preserve"> the SAE Paper template is </w:t>
      </w:r>
      <w:r w:rsidR="00145F4C">
        <w:t xml:space="preserve">a </w:t>
      </w:r>
      <w:r>
        <w:t>two-column</w:t>
      </w:r>
      <w:r w:rsidR="00145F4C">
        <w:t xml:space="preserve"> format</w:t>
      </w:r>
      <w:r w:rsidR="007F70DE">
        <w:t xml:space="preserve">. </w:t>
      </w:r>
      <w:r>
        <w:t xml:space="preserve">This is </w:t>
      </w:r>
      <w:r w:rsidR="0072764B">
        <w:t>due to</w:t>
      </w:r>
      <w:r>
        <w:t xml:space="preserve"> requests from authors to aid in keeping their figures, tables and equations to 3 ½ inches which is recommended</w:t>
      </w:r>
      <w:r w:rsidR="007F70DE">
        <w:t xml:space="preserve">. </w:t>
      </w:r>
      <w:r>
        <w:t>The author may have figures and tables which span both columns</w:t>
      </w:r>
      <w:r w:rsidR="00284A18">
        <w:t xml:space="preserve"> (maximum size 7</w:t>
      </w:r>
      <w:r w:rsidR="00622BFF">
        <w:t xml:space="preserve"> inches wide </w:t>
      </w:r>
      <w:r w:rsidR="00284A18">
        <w:t xml:space="preserve">x </w:t>
      </w:r>
      <w:r w:rsidR="005A4977">
        <w:t>7</w:t>
      </w:r>
      <w:r w:rsidR="00622BFF">
        <w:t xml:space="preserve"> inches in length</w:t>
      </w:r>
      <w:r w:rsidR="00284A18">
        <w:t>)</w:t>
      </w:r>
      <w:r>
        <w:t xml:space="preserve"> but equations MUST be no larger than 3 ½ inches</w:t>
      </w:r>
      <w:r w:rsidR="007F70DE">
        <w:t xml:space="preserve">. </w:t>
      </w:r>
    </w:p>
    <w:p w14:paraId="44EBBBCD" w14:textId="77777777" w:rsidR="00B10F00" w:rsidRDefault="00B10F00" w:rsidP="00A418D3">
      <w:r>
        <w:t xml:space="preserve">Abstract </w:t>
      </w:r>
      <w:r w:rsidRPr="00284A18">
        <w:t>MUST</w:t>
      </w:r>
      <w:r>
        <w:t xml:space="preserve"> be no more than 250 words. The paper is the authoritative source for the abstract. Footnotes should not be included in the title or abstract.</w:t>
      </w:r>
    </w:p>
    <w:p w14:paraId="229071BB" w14:textId="77777777" w:rsidR="00A901A5" w:rsidRDefault="00A901A5" w:rsidP="00A418D3">
      <w:r>
        <w:t>Th</w:t>
      </w:r>
      <w:r w:rsidR="00256E10">
        <w:t>is</w:t>
      </w:r>
      <w:r>
        <w:t xml:space="preserve"> template is merely a guide to aid the author in submitting the text of their paper</w:t>
      </w:r>
      <w:r w:rsidR="007F70DE">
        <w:t xml:space="preserve">. </w:t>
      </w:r>
      <w:r>
        <w:t>The final published paper will NOT look exactly as the author su</w:t>
      </w:r>
      <w:r w:rsidR="00FE5F95">
        <w:t>b</w:t>
      </w:r>
      <w:r>
        <w:t>mitted.</w:t>
      </w:r>
    </w:p>
    <w:p w14:paraId="1A67C6A3" w14:textId="77777777" w:rsidR="00B01FCD" w:rsidRDefault="00B01FCD" w:rsidP="00A418D3">
      <w:r w:rsidRPr="00A418D3">
        <w:t>The manuscript element</w:t>
      </w:r>
      <w:r w:rsidR="004E4063">
        <w:t xml:space="preserve">s have been formatted </w:t>
      </w:r>
      <w:r w:rsidR="000C744F">
        <w:t>to the SAE T</w:t>
      </w:r>
      <w:r w:rsidR="00256E10">
        <w:t xml:space="preserve">echnical Paper Style Guide which can be used as an additional resource and </w:t>
      </w:r>
      <w:r w:rsidR="00482161">
        <w:t>can be found</w:t>
      </w:r>
      <w:r w:rsidR="00256E10">
        <w:t xml:space="preserve"> on the SAE website where this </w:t>
      </w:r>
      <w:r w:rsidR="000C744F">
        <w:t>template</w:t>
      </w:r>
      <w:r w:rsidR="00256E10">
        <w:t xml:space="preserve"> is located</w:t>
      </w:r>
      <w:r w:rsidR="007F70DE">
        <w:t xml:space="preserve">. </w:t>
      </w:r>
    </w:p>
    <w:p w14:paraId="1A3C1B6E" w14:textId="77777777" w:rsidR="00622BFF" w:rsidRDefault="00622BFF" w:rsidP="00A418D3">
      <w:r>
        <w:t xml:space="preserve">Remember to use the Technical Paper Checklist </w:t>
      </w:r>
      <w:r w:rsidR="00482161">
        <w:t xml:space="preserve">also </w:t>
      </w:r>
      <w:r>
        <w:t>found on the SAE website where this template is located before submitting your paper</w:t>
      </w:r>
      <w:r w:rsidR="007F70DE">
        <w:t xml:space="preserve">. </w:t>
      </w:r>
      <w:r>
        <w:t>This will ensure that all steps have been completed and are correct.</w:t>
      </w:r>
    </w:p>
    <w:p w14:paraId="0EF517FE" w14:textId="77777777" w:rsidR="00622BFF" w:rsidRPr="00A418D3" w:rsidRDefault="00A901A5" w:rsidP="00A418D3">
      <w:r>
        <w:t>This template should</w:t>
      </w:r>
      <w:r w:rsidR="00622BFF">
        <w:t xml:space="preserve"> be printed as a reference and all text deleted befor</w:t>
      </w:r>
      <w:r>
        <w:t>e beginning use</w:t>
      </w:r>
      <w:r w:rsidR="00622BFF">
        <w:t>.</w:t>
      </w:r>
    </w:p>
    <w:p w14:paraId="6BA61442" w14:textId="77777777" w:rsidR="00B01FCD" w:rsidRDefault="00B01FCD" w:rsidP="00A418D3">
      <w:pPr>
        <w:pStyle w:val="Head1"/>
      </w:pPr>
      <w:r w:rsidRPr="00A418D3">
        <w:t>INTRODUCTION</w:t>
      </w:r>
    </w:p>
    <w:p w14:paraId="5D640F87" w14:textId="77777777" w:rsidR="00A02501" w:rsidRDefault="00A02501" w:rsidP="00A02501">
      <w:r>
        <w:t>The [Head1] style is a Level 1 heading</w:t>
      </w:r>
      <w:r w:rsidR="007F70DE">
        <w:t xml:space="preserve">. </w:t>
      </w:r>
      <w:r>
        <w:t>It has been applied to the heading above, “INTRODUCTION”</w:t>
      </w:r>
      <w:r w:rsidR="007F70DE">
        <w:t xml:space="preserve">. </w:t>
      </w:r>
      <w:r w:rsidR="00684B6B">
        <w:t xml:space="preserve">A [Head1] is </w:t>
      </w:r>
      <w:proofErr w:type="spellStart"/>
      <w:r w:rsidR="00684B6B">
        <w:t>TimesNewRoman</w:t>
      </w:r>
      <w:proofErr w:type="spellEnd"/>
      <w:r w:rsidR="00684B6B">
        <w:t>, 14</w:t>
      </w:r>
      <w:r w:rsidR="006E120E">
        <w:t xml:space="preserve"> point, Caps, bold, underline. </w:t>
      </w:r>
      <w:r>
        <w:t>[Normal] style text and other levels of headings [Head2], [Head3], and [Head4] should be used to structure the con</w:t>
      </w:r>
      <w:r w:rsidR="00A53AC7">
        <w:t>tent within any given section.</w:t>
      </w:r>
    </w:p>
    <w:p w14:paraId="62B48914" w14:textId="77777777" w:rsidR="008C19F5" w:rsidRDefault="00482161" w:rsidP="008C19F5">
      <w:pPr>
        <w:pStyle w:val="Head1"/>
      </w:pPr>
      <w:r>
        <w:t xml:space="preserve">first heading of </w:t>
      </w:r>
      <w:r w:rsidR="008C19F5">
        <w:t>Body</w:t>
      </w:r>
    </w:p>
    <w:p w14:paraId="42FBB8B4" w14:textId="77777777" w:rsidR="008C19F5" w:rsidRDefault="008C19F5" w:rsidP="00134901">
      <w:r w:rsidRPr="00AE6D1E">
        <w:t>The body of the paper should include detailed and structured description of</w:t>
      </w:r>
      <w:r>
        <w:t xml:space="preserve"> </w:t>
      </w:r>
      <w:r w:rsidRPr="00AE6D1E">
        <w:t>the work performed, including (as appropriate) methodology, assumptions, hardware, observations, analysis, and a comparison of results with prior work. The information presented must be self-contained (in the sense that the</w:t>
      </w:r>
      <w:r>
        <w:t xml:space="preserve"> </w:t>
      </w:r>
      <w:r w:rsidRPr="00AE6D1E">
        <w:t xml:space="preserve">reader is not assumed to have read prior papers) and provide an </w:t>
      </w:r>
      <w:r w:rsidRPr="00AE6D1E">
        <w:t>appropriate level of detail for the intended audience. Define all terms at first usage and apply them consistently.</w:t>
      </w:r>
    </w:p>
    <w:p w14:paraId="4DE9B592" w14:textId="77777777" w:rsidR="00684B6B" w:rsidRPr="00AE6D1E" w:rsidRDefault="00684B6B" w:rsidP="00134901">
      <w:r w:rsidRPr="00AE6D1E">
        <w:t xml:space="preserve">The body section is not entitled </w:t>
      </w:r>
      <w:r w:rsidRPr="00AE6D1E">
        <w:rPr>
          <w:rFonts w:ascii="TimesNewRoman,Italic" w:hAnsi="TimesNewRoman,Italic" w:cs="TimesNewRoman,Italic"/>
          <w:i/>
          <w:iCs/>
        </w:rPr>
        <w:t>Body</w:t>
      </w:r>
      <w:r w:rsidRPr="00AE6D1E">
        <w:t>. Rather it comprises multiple sections and subsections titled using topical headings in a four-level structure</w:t>
      </w:r>
      <w:r>
        <w:t xml:space="preserve">. </w:t>
      </w:r>
      <w:r w:rsidRPr="00AE6D1E">
        <w:t>Template styles [Head1] through [Head4] are used to tag and format titles of</w:t>
      </w:r>
      <w:r>
        <w:t xml:space="preserve"> </w:t>
      </w:r>
      <w:r w:rsidRPr="00AE6D1E">
        <w:t>the different levels. No specific heading titles are mandated, but common examples include Methods, Results, and Discussion</w:t>
      </w:r>
      <w:r>
        <w:t xml:space="preserve">. The [Normal] style tag is used for paragraph text. Figures, tables, and equations fall under the body section. </w:t>
      </w:r>
      <w:r w:rsidR="00B41D03">
        <w:t>Found in this template</w:t>
      </w:r>
      <w:r>
        <w:t xml:space="preserve"> are examples of a figure, a table, and an equation (which must be kept to 3.5” wide).</w:t>
      </w:r>
    </w:p>
    <w:p w14:paraId="19E77643" w14:textId="77777777" w:rsidR="00C511C8" w:rsidRDefault="00C511C8" w:rsidP="002C0E22">
      <w:pPr>
        <w:pStyle w:val="Head2"/>
      </w:pPr>
      <w:r w:rsidRPr="002C0E22">
        <w:t>Head 2 E</w:t>
      </w:r>
      <w:r w:rsidR="002C0E22">
        <w:t>xample</w:t>
      </w:r>
    </w:p>
    <w:p w14:paraId="5FB0A21C" w14:textId="77777777" w:rsidR="00684B6B" w:rsidRPr="00684B6B" w:rsidRDefault="00684B6B" w:rsidP="00684B6B">
      <w:r>
        <w:t xml:space="preserve">A [Head 2] style tag applied </w:t>
      </w:r>
      <w:r w:rsidR="0035590F">
        <w:t xml:space="preserve">to the heading </w:t>
      </w:r>
      <w:r>
        <w:t xml:space="preserve">above is </w:t>
      </w:r>
      <w:proofErr w:type="spellStart"/>
      <w:r>
        <w:t>TimesNewRoman</w:t>
      </w:r>
      <w:proofErr w:type="spellEnd"/>
      <w:r>
        <w:t>, 14 point, initial caps, bold.</w:t>
      </w:r>
      <w:r w:rsidR="006E120E">
        <w:t xml:space="preserve"> </w:t>
      </w:r>
      <w:r>
        <w:t xml:space="preserve">The [Normal] style tag should be used for paragraph text which is </w:t>
      </w:r>
      <w:proofErr w:type="spellStart"/>
      <w:r>
        <w:t>TimesNewRoman</w:t>
      </w:r>
      <w:proofErr w:type="spellEnd"/>
      <w:r>
        <w:t>, 10 point.</w:t>
      </w:r>
    </w:p>
    <w:p w14:paraId="1647E7BD" w14:textId="77777777" w:rsidR="00C511C8" w:rsidRDefault="00C511C8" w:rsidP="00C511C8">
      <w:pPr>
        <w:pStyle w:val="Head3"/>
      </w:pPr>
      <w:r>
        <w:t>Head 3 Example</w:t>
      </w:r>
    </w:p>
    <w:p w14:paraId="5F91EFC9" w14:textId="77777777" w:rsidR="00684B6B" w:rsidRPr="00684B6B" w:rsidRDefault="00684B6B" w:rsidP="00684B6B">
      <w:r>
        <w:t xml:space="preserve">A [Head3] style tag applied </w:t>
      </w:r>
      <w:r w:rsidR="0035590F">
        <w:t xml:space="preserve">to the heading </w:t>
      </w:r>
      <w:r>
        <w:t xml:space="preserve">above is </w:t>
      </w:r>
      <w:proofErr w:type="spellStart"/>
      <w:r>
        <w:t>TimesNewRoman</w:t>
      </w:r>
      <w:proofErr w:type="spellEnd"/>
      <w:r>
        <w:t>, 12 point, initial caps, bold, underline.</w:t>
      </w:r>
      <w:r w:rsidR="006E120E">
        <w:t xml:space="preserve"> </w:t>
      </w:r>
      <w:r>
        <w:t xml:space="preserve">The [Normal] style tag should be used for paragraph text which is </w:t>
      </w:r>
      <w:proofErr w:type="spellStart"/>
      <w:r>
        <w:t>TimesNewRoman</w:t>
      </w:r>
      <w:proofErr w:type="spellEnd"/>
      <w:r>
        <w:t>, 10 point.</w:t>
      </w:r>
    </w:p>
    <w:p w14:paraId="7CA8DFB6" w14:textId="77777777" w:rsidR="00C511C8" w:rsidRDefault="00C511C8" w:rsidP="00C511C8">
      <w:pPr>
        <w:pStyle w:val="Head4"/>
      </w:pPr>
      <w:r>
        <w:t>Head 4 Example</w:t>
      </w:r>
    </w:p>
    <w:p w14:paraId="759B4652" w14:textId="77777777" w:rsidR="00684B6B" w:rsidRPr="00684B6B" w:rsidRDefault="00684B6B" w:rsidP="00684B6B">
      <w:r>
        <w:t xml:space="preserve">A [Head4] style tag applied </w:t>
      </w:r>
      <w:r w:rsidR="0035590F">
        <w:t xml:space="preserve">to the heading </w:t>
      </w:r>
      <w:r>
        <w:t xml:space="preserve">above is </w:t>
      </w:r>
      <w:proofErr w:type="spellStart"/>
      <w:r>
        <w:t>TimesNewRoman</w:t>
      </w:r>
      <w:proofErr w:type="spellEnd"/>
      <w:r>
        <w:t xml:space="preserve">, 12 point, initial caps, bold, italic. </w:t>
      </w:r>
      <w:r w:rsidR="003C05EF">
        <w:t>The [Normal] style tag</w:t>
      </w:r>
      <w:r w:rsidR="006E120E">
        <w:t xml:space="preserve"> </w:t>
      </w:r>
      <w:r w:rsidR="003C05EF">
        <w:t xml:space="preserve">should be used for paragraph text which is </w:t>
      </w:r>
      <w:proofErr w:type="spellStart"/>
      <w:r w:rsidR="003C05EF">
        <w:t>TimesNewRoman</w:t>
      </w:r>
      <w:proofErr w:type="spellEnd"/>
      <w:r w:rsidR="003C05EF">
        <w:t>, 10 point.</w:t>
      </w:r>
    </w:p>
    <w:p w14:paraId="60E5A5B5" w14:textId="77777777" w:rsidR="008C19F5" w:rsidRDefault="008C19F5" w:rsidP="00134901"/>
    <w:p w14:paraId="6512FC93" w14:textId="77777777" w:rsidR="00FD3482" w:rsidRDefault="00FD3482" w:rsidP="00151E0C">
      <w:pPr>
        <w:pStyle w:val="Figure"/>
        <w:spacing w:after="0"/>
      </w:pPr>
      <w:r w:rsidRPr="00FD3482">
        <w:rPr>
          <w:noProof/>
        </w:rPr>
        <w:lastRenderedPageBreak/>
        <w:drawing>
          <wp:inline distT="0" distB="0" distL="0" distR="0" wp14:anchorId="01F4F48C" wp14:editId="2D5656AF">
            <wp:extent cx="3034109" cy="2118360"/>
            <wp:effectExtent l="0" t="0" r="0" b="0"/>
            <wp:docPr id="1" name="Picture 0" descr="2010-01-0033_fig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01-0033_fig0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109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07BDB" w14:textId="77777777" w:rsidR="00FD3482" w:rsidRDefault="00327F61" w:rsidP="00FD3482">
      <w:pPr>
        <w:pStyle w:val="FigureCaption"/>
      </w:pPr>
      <w:r>
        <w:t>Figure 1.</w:t>
      </w:r>
      <w:r w:rsidR="00FD3482">
        <w:t xml:space="preserve"> </w:t>
      </w:r>
      <w:r w:rsidR="00C511C8">
        <w:t>E</w:t>
      </w:r>
      <w:r w:rsidR="008C19F5">
        <w:t xml:space="preserve">xample of a figure and figure caption. The sample figure has been sized </w:t>
      </w:r>
      <w:r w:rsidR="00A97E1A">
        <w:t xml:space="preserve">to </w:t>
      </w:r>
      <w:r w:rsidR="008C19F5">
        <w:t>3.5</w:t>
      </w:r>
      <w:r w:rsidR="00615BE0">
        <w:t xml:space="preserve"> </w:t>
      </w:r>
      <w:r w:rsidR="008C19F5">
        <w:t>inches wide,</w:t>
      </w:r>
      <w:r w:rsidR="00A97E1A">
        <w:t xml:space="preserve"> which is the recommended size</w:t>
      </w:r>
      <w:r w:rsidR="008C19F5">
        <w:t>.</w:t>
      </w:r>
      <w:r w:rsidR="00B10F00">
        <w:t xml:space="preserve"> Captions for figures are 10 pt. </w:t>
      </w:r>
      <w:proofErr w:type="spellStart"/>
      <w:r w:rsidR="00B10F00">
        <w:t>TimesNewRoman</w:t>
      </w:r>
      <w:proofErr w:type="spellEnd"/>
      <w:r w:rsidR="00B10F00">
        <w:t xml:space="preserve"> Bold Italic</w:t>
      </w:r>
      <w:r w:rsidR="00112558">
        <w:t xml:space="preserve"> and are placed below the figure.</w:t>
      </w:r>
    </w:p>
    <w:p w14:paraId="0A4C3BFB" w14:textId="77777777" w:rsidR="00FD3482" w:rsidRPr="005F4F92" w:rsidRDefault="00FD3482" w:rsidP="00FD3482">
      <w:pPr>
        <w:pStyle w:val="TableTitle"/>
      </w:pPr>
      <w:r>
        <w:t>Table 1</w:t>
      </w:r>
      <w:r w:rsidR="00327F61">
        <w:t>.</w:t>
      </w:r>
      <w:r>
        <w:t xml:space="preserve"> </w:t>
      </w:r>
      <w:r w:rsidR="008C19F5">
        <w:t xml:space="preserve">This is an example of a table and table title. </w:t>
      </w:r>
      <w:r w:rsidR="00A97E1A">
        <w:t>For</w:t>
      </w:r>
      <w:r w:rsidR="008C19F5">
        <w:t xml:space="preserve"> tables</w:t>
      </w:r>
      <w:r w:rsidR="00A97E1A">
        <w:t>, the recommended size is</w:t>
      </w:r>
      <w:r w:rsidR="008C19F5">
        <w:t xml:space="preserve"> 3.5 inches.</w:t>
      </w:r>
      <w:r w:rsidR="00B10F00">
        <w:t xml:space="preserve"> Table titles are 10 pt. </w:t>
      </w:r>
      <w:proofErr w:type="spellStart"/>
      <w:r w:rsidR="00B10F00">
        <w:t>TimesNewRoman</w:t>
      </w:r>
      <w:proofErr w:type="spellEnd"/>
      <w:r w:rsidR="00B10F00">
        <w:t xml:space="preserve"> Bold Italic</w:t>
      </w:r>
      <w:r w:rsidR="00112558">
        <w:t xml:space="preserve"> and are place</w:t>
      </w:r>
      <w:r w:rsidR="00FE24DE">
        <w:t>d</w:t>
      </w:r>
      <w:r w:rsidR="00112558">
        <w:t xml:space="preserve"> above the table.</w:t>
      </w:r>
    </w:p>
    <w:tbl>
      <w:tblPr>
        <w:tblStyle w:val="TableGridCenter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2"/>
        <w:gridCol w:w="2458"/>
      </w:tblGrid>
      <w:tr w:rsidR="00CC3F12" w:rsidRPr="00A319AC" w14:paraId="3F557D45" w14:textId="77777777" w:rsidTr="00CC3F12">
        <w:trPr>
          <w:trHeight w:hRule="exact" w:val="270"/>
        </w:trPr>
        <w:tc>
          <w:tcPr>
            <w:tcW w:w="2582" w:type="dxa"/>
          </w:tcPr>
          <w:p w14:paraId="29A5C13C" w14:textId="77777777" w:rsidR="00CC3F12" w:rsidRPr="00BA647B" w:rsidRDefault="00CC3F12" w:rsidP="0010106B">
            <w:r w:rsidRPr="00BA647B">
              <w:t>Displaced volume</w:t>
            </w:r>
          </w:p>
        </w:tc>
        <w:tc>
          <w:tcPr>
            <w:tcW w:w="2458" w:type="dxa"/>
          </w:tcPr>
          <w:p w14:paraId="56F2E559" w14:textId="77777777" w:rsidR="00CC3F12" w:rsidRPr="00BA647B" w:rsidRDefault="00CC3F12" w:rsidP="0010106B">
            <w:r w:rsidRPr="00BA647B">
              <w:t>1966 cc</w:t>
            </w:r>
          </w:p>
        </w:tc>
      </w:tr>
      <w:tr w:rsidR="00CC3F12" w:rsidRPr="00A319AC" w14:paraId="42CFFD7F" w14:textId="77777777" w:rsidTr="00CC3F12">
        <w:trPr>
          <w:trHeight w:hRule="exact" w:val="270"/>
        </w:trPr>
        <w:tc>
          <w:tcPr>
            <w:tcW w:w="2582" w:type="dxa"/>
          </w:tcPr>
          <w:p w14:paraId="4DB39629" w14:textId="77777777" w:rsidR="00CC3F12" w:rsidRPr="00BA647B" w:rsidRDefault="00CC3F12" w:rsidP="0010106B">
            <w:r w:rsidRPr="00BA647B">
              <w:t>Stroke</w:t>
            </w:r>
          </w:p>
        </w:tc>
        <w:tc>
          <w:tcPr>
            <w:tcW w:w="2458" w:type="dxa"/>
          </w:tcPr>
          <w:p w14:paraId="7D94716A" w14:textId="77777777" w:rsidR="00CC3F12" w:rsidRPr="00BA647B" w:rsidRDefault="00CC3F12" w:rsidP="0010106B">
            <w:smartTag w:uri="urn:schemas-microsoft-com:office:smarttags" w:element="metricconverter">
              <w:smartTagPr>
                <w:attr w:name="ProductID" w:val="154 mm"/>
                <w:attr w:name="w:st" w:val="on"/>
              </w:smartTagPr>
              <w:r w:rsidRPr="00BA647B">
                <w:t>154 mm</w:t>
              </w:r>
            </w:smartTag>
            <w:r w:rsidRPr="00BA647B">
              <w:t xml:space="preserve"> </w:t>
            </w:r>
          </w:p>
        </w:tc>
      </w:tr>
      <w:tr w:rsidR="00CC3F12" w:rsidRPr="00A319AC" w14:paraId="7FA5295A" w14:textId="77777777" w:rsidTr="00CC3F12">
        <w:trPr>
          <w:trHeight w:hRule="exact" w:val="270"/>
        </w:trPr>
        <w:tc>
          <w:tcPr>
            <w:tcW w:w="2582" w:type="dxa"/>
          </w:tcPr>
          <w:p w14:paraId="403CD311" w14:textId="77777777" w:rsidR="00CC3F12" w:rsidRPr="00BA647B" w:rsidRDefault="00CC3F12" w:rsidP="0010106B">
            <w:r w:rsidRPr="00BA647B">
              <w:t>Bore</w:t>
            </w:r>
          </w:p>
        </w:tc>
        <w:tc>
          <w:tcPr>
            <w:tcW w:w="2458" w:type="dxa"/>
          </w:tcPr>
          <w:p w14:paraId="787A1C86" w14:textId="77777777" w:rsidR="00CC3F12" w:rsidRPr="00BA647B" w:rsidRDefault="00CC3F12" w:rsidP="0010106B">
            <w:smartTag w:uri="urn:schemas-microsoft-com:office:smarttags" w:element="metricconverter">
              <w:smartTagPr>
                <w:attr w:name="ProductID" w:val="127.5 mm"/>
                <w:attr w:name="w:st" w:val="on"/>
              </w:smartTagPr>
              <w:r w:rsidRPr="00BA647B">
                <w:t>127.5 mm</w:t>
              </w:r>
            </w:smartTag>
            <w:r w:rsidRPr="00BA647B">
              <w:t xml:space="preserve"> </w:t>
            </w:r>
          </w:p>
        </w:tc>
      </w:tr>
      <w:tr w:rsidR="00CC3F12" w:rsidRPr="00A319AC" w14:paraId="640CFA2E" w14:textId="77777777" w:rsidTr="00CC3F12">
        <w:trPr>
          <w:trHeight w:hRule="exact" w:val="270"/>
        </w:trPr>
        <w:tc>
          <w:tcPr>
            <w:tcW w:w="2582" w:type="dxa"/>
          </w:tcPr>
          <w:p w14:paraId="7E305874" w14:textId="77777777" w:rsidR="00CC3F12" w:rsidRPr="00BA647B" w:rsidRDefault="00CC3F12" w:rsidP="0010106B">
            <w:r w:rsidRPr="00BA647B">
              <w:t>Connecting Rod</w:t>
            </w:r>
          </w:p>
        </w:tc>
        <w:tc>
          <w:tcPr>
            <w:tcW w:w="2458" w:type="dxa"/>
          </w:tcPr>
          <w:p w14:paraId="1FBE5699" w14:textId="77777777" w:rsidR="00CC3F12" w:rsidRPr="00BA647B" w:rsidRDefault="00CC3F12" w:rsidP="0010106B">
            <w:smartTag w:uri="urn:schemas-microsoft-com:office:smarttags" w:element="metricconverter">
              <w:smartTagPr>
                <w:attr w:name="ProductID" w:val="255 mm"/>
                <w:attr w:name="w:st" w:val="on"/>
              </w:smartTagPr>
              <w:r w:rsidRPr="00BA647B">
                <w:t>255 mm</w:t>
              </w:r>
            </w:smartTag>
            <w:r w:rsidRPr="00BA647B">
              <w:t xml:space="preserve"> </w:t>
            </w:r>
          </w:p>
        </w:tc>
      </w:tr>
      <w:tr w:rsidR="00CC3F12" w:rsidRPr="00A319AC" w14:paraId="0FF7B84C" w14:textId="77777777" w:rsidTr="00CC3F12">
        <w:trPr>
          <w:trHeight w:hRule="exact" w:val="270"/>
        </w:trPr>
        <w:tc>
          <w:tcPr>
            <w:tcW w:w="2582" w:type="dxa"/>
          </w:tcPr>
          <w:p w14:paraId="60E6A54E" w14:textId="77777777" w:rsidR="00CC3F12" w:rsidRPr="00BA647B" w:rsidRDefault="00CC3F12" w:rsidP="0010106B">
            <w:r w:rsidRPr="00BA647B">
              <w:t>Compression ratio</w:t>
            </w:r>
          </w:p>
        </w:tc>
        <w:tc>
          <w:tcPr>
            <w:tcW w:w="2458" w:type="dxa"/>
          </w:tcPr>
          <w:p w14:paraId="0B607F13" w14:textId="77777777" w:rsidR="00CC3F12" w:rsidRPr="00BA647B" w:rsidRDefault="00CC3F12" w:rsidP="0010106B">
            <w:r w:rsidRPr="00BA647B">
              <w:t>1</w:t>
            </w:r>
            <w:r>
              <w:t>4.3:</w:t>
            </w:r>
            <w:r w:rsidRPr="00BA647B">
              <w:t>1</w:t>
            </w:r>
          </w:p>
        </w:tc>
      </w:tr>
      <w:tr w:rsidR="00CC3F12" w:rsidRPr="00A319AC" w14:paraId="4873B8A0" w14:textId="77777777" w:rsidTr="00CC3F12">
        <w:trPr>
          <w:trHeight w:hRule="exact" w:val="270"/>
        </w:trPr>
        <w:tc>
          <w:tcPr>
            <w:tcW w:w="2582" w:type="dxa"/>
          </w:tcPr>
          <w:p w14:paraId="2D65FE86" w14:textId="77777777" w:rsidR="00CC3F12" w:rsidRPr="00BA647B" w:rsidRDefault="00CC3F12" w:rsidP="0010106B">
            <w:r w:rsidRPr="00BA647B">
              <w:t>Number of Valves</w:t>
            </w:r>
          </w:p>
        </w:tc>
        <w:tc>
          <w:tcPr>
            <w:tcW w:w="2458" w:type="dxa"/>
          </w:tcPr>
          <w:p w14:paraId="3CE21606" w14:textId="77777777" w:rsidR="00CC3F12" w:rsidRPr="00BA647B" w:rsidRDefault="00CC3F12" w:rsidP="0010106B">
            <w:r w:rsidRPr="00BA647B">
              <w:t>4</w:t>
            </w:r>
          </w:p>
        </w:tc>
      </w:tr>
      <w:tr w:rsidR="00CC3F12" w:rsidRPr="00A319AC" w14:paraId="198C4B1A" w14:textId="77777777" w:rsidTr="00CC3F12">
        <w:trPr>
          <w:trHeight w:hRule="exact" w:val="270"/>
        </w:trPr>
        <w:tc>
          <w:tcPr>
            <w:tcW w:w="2582" w:type="dxa"/>
          </w:tcPr>
          <w:p w14:paraId="1A7EA0CD" w14:textId="77777777" w:rsidR="00CC3F12" w:rsidRPr="00BA647B" w:rsidRDefault="00CC3F12" w:rsidP="0010106B">
            <w:r w:rsidRPr="00BA647B">
              <w:t>Exhaust Valve Open</w:t>
            </w:r>
          </w:p>
        </w:tc>
        <w:tc>
          <w:tcPr>
            <w:tcW w:w="2458" w:type="dxa"/>
          </w:tcPr>
          <w:p w14:paraId="06EBA7AD" w14:textId="77777777" w:rsidR="00CC3F12" w:rsidRPr="00BA647B" w:rsidRDefault="00CC3F12" w:rsidP="0010106B">
            <w:r w:rsidRPr="00BA647B">
              <w:t>34° BBDC @ 0.15 mm lift</w:t>
            </w:r>
          </w:p>
        </w:tc>
      </w:tr>
      <w:tr w:rsidR="00CC3F12" w:rsidRPr="00A319AC" w14:paraId="60479B9C" w14:textId="77777777" w:rsidTr="00CC3F12">
        <w:trPr>
          <w:trHeight w:hRule="exact" w:val="270"/>
        </w:trPr>
        <w:tc>
          <w:tcPr>
            <w:tcW w:w="2582" w:type="dxa"/>
          </w:tcPr>
          <w:p w14:paraId="3629E137" w14:textId="77777777" w:rsidR="00CC3F12" w:rsidRPr="00BA647B" w:rsidRDefault="00CC3F12" w:rsidP="0010106B">
            <w:r w:rsidRPr="00BA647B">
              <w:t>Exhaust Valve Close</w:t>
            </w:r>
          </w:p>
        </w:tc>
        <w:tc>
          <w:tcPr>
            <w:tcW w:w="2458" w:type="dxa"/>
          </w:tcPr>
          <w:p w14:paraId="7FB1BA5E" w14:textId="77777777" w:rsidR="00CC3F12" w:rsidRPr="00BA647B" w:rsidRDefault="00CC3F12" w:rsidP="0010106B">
            <w:r w:rsidRPr="00BA647B">
              <w:t>6° BTDC @ 0.15 mm lift</w:t>
            </w:r>
          </w:p>
        </w:tc>
      </w:tr>
      <w:tr w:rsidR="00CC3F12" w:rsidRPr="00A319AC" w14:paraId="6AE0FCC7" w14:textId="77777777" w:rsidTr="00CC3F12">
        <w:trPr>
          <w:trHeight w:hRule="exact" w:val="270"/>
        </w:trPr>
        <w:tc>
          <w:tcPr>
            <w:tcW w:w="2582" w:type="dxa"/>
          </w:tcPr>
          <w:p w14:paraId="3629AC6E" w14:textId="77777777" w:rsidR="00CC3F12" w:rsidRPr="00BA647B" w:rsidRDefault="00CC3F12" w:rsidP="0010106B">
            <w:r w:rsidRPr="00BA647B">
              <w:t>Inlet Valve Open</w:t>
            </w:r>
          </w:p>
        </w:tc>
        <w:tc>
          <w:tcPr>
            <w:tcW w:w="2458" w:type="dxa"/>
          </w:tcPr>
          <w:p w14:paraId="77C8BBFE" w14:textId="77777777" w:rsidR="00CC3F12" w:rsidRPr="00BA647B" w:rsidRDefault="00CC3F12" w:rsidP="0010106B">
            <w:r w:rsidRPr="00BA647B">
              <w:t>2°  BTDC @ 0.15 mm lift</w:t>
            </w:r>
          </w:p>
        </w:tc>
      </w:tr>
    </w:tbl>
    <w:p w14:paraId="544E41B9" w14:textId="77777777" w:rsidR="0010106B" w:rsidRDefault="0010106B" w:rsidP="0010106B"/>
    <w:p w14:paraId="593C318B" w14:textId="77777777" w:rsidR="00151E0C" w:rsidRDefault="00151E0C" w:rsidP="0010106B">
      <w:r>
        <w:t>Te</w:t>
      </w:r>
      <w:r w:rsidR="00E25DD3">
        <w:t>x</w:t>
      </w:r>
      <w:r>
        <w:t xml:space="preserve">t within the tables should be no larger than 10 pt. </w:t>
      </w:r>
      <w:proofErr w:type="spellStart"/>
      <w:r>
        <w:t>TimesNew</w:t>
      </w:r>
      <w:proofErr w:type="spellEnd"/>
      <w:r>
        <w:t xml:space="preserve"> Roman.</w:t>
      </w:r>
    </w:p>
    <w:p w14:paraId="75458B71" w14:textId="77777777" w:rsidR="00BB0F44" w:rsidRDefault="00CD7086" w:rsidP="00BB0F44">
      <w:pPr>
        <w:pStyle w:val="List-Ordered-Numeric"/>
      </w:pPr>
      <w:r>
        <w:t>This is an example of an ordered list</w:t>
      </w:r>
      <w:r w:rsidR="007F70DE">
        <w:t xml:space="preserve">. </w:t>
      </w:r>
      <w:r>
        <w:t xml:space="preserve">When creating this type of list </w:t>
      </w:r>
      <w:r w:rsidR="00BB0F44">
        <w:t xml:space="preserve">do not </w:t>
      </w:r>
      <w:r w:rsidR="007F5607">
        <w:t>enclose number or letter in parenthesis i.e. (1) or (a).</w:t>
      </w:r>
      <w:r w:rsidR="00BB0F44">
        <w:t xml:space="preserve"> Instead number as shown in this list.</w:t>
      </w:r>
    </w:p>
    <w:p w14:paraId="0803681D" w14:textId="77777777" w:rsidR="00FD3482" w:rsidRDefault="000F51C0" w:rsidP="0010106B">
      <w:r>
        <w:t xml:space="preserve">Shown are </w:t>
      </w:r>
      <w:r w:rsidR="008C19F5">
        <w:t>example</w:t>
      </w:r>
      <w:r>
        <w:t>s</w:t>
      </w:r>
      <w:r w:rsidR="008C19F5">
        <w:t xml:space="preserve"> of equation</w:t>
      </w:r>
      <w:r>
        <w:t>s</w:t>
      </w:r>
      <w:r w:rsidR="008C19F5">
        <w:t>. All equations wider than 3.5 inches mu</w:t>
      </w:r>
      <w:r w:rsidR="007029E1">
        <w:t>st be wrapped to the next line</w:t>
      </w:r>
      <w:r w:rsidR="002B1648">
        <w:t xml:space="preserve"> as shown in </w:t>
      </w:r>
      <w:r w:rsidR="00C8115E">
        <w:t xml:space="preserve">these </w:t>
      </w:r>
      <w:r w:rsidR="002B1648">
        <w:t>equation</w:t>
      </w:r>
      <w:r w:rsidR="00C8115E">
        <w:t>s</w:t>
      </w:r>
      <w:r w:rsidR="007029E1">
        <w:t>.</w:t>
      </w:r>
    </w:p>
    <w:p w14:paraId="05BDCFF8" w14:textId="77777777" w:rsidR="00C8115E" w:rsidRPr="00C8115E" w:rsidRDefault="002B3137" w:rsidP="00C8115E">
      <w:pPr>
        <w:pStyle w:val="Equation"/>
        <w:tabs>
          <w:tab w:val="right" w:pos="4410"/>
        </w:tabs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dλ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1+16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st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1+16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prev</m:t>
                                      </m:r>
                                    </m:sub>
                                  </m:sSub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st</m:t>
                      </m:r>
                    </m:sub>
                  </m:sSub>
                </m:den>
              </m:f>
            </m:e>
          </m:d>
        </m:oMath>
      </m:oMathPara>
    </w:p>
    <w:p w14:paraId="5DE00FBE" w14:textId="77777777" w:rsidR="00FD3482" w:rsidRDefault="00C8115E" w:rsidP="00C8115E">
      <w:pPr>
        <w:pStyle w:val="Equation"/>
        <w:tabs>
          <w:tab w:val="right" w:pos="4410"/>
        </w:tabs>
      </w:pPr>
      <m:oMath>
        <m:r>
          <w:rPr>
            <w:rFonts w:ascii="Cambria Math" w:hAnsi="Cambria Math"/>
          </w:rPr>
          <m:t xml:space="preserve">                               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BG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∙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prev</m:t>
                    </m:r>
                  </m:sub>
                </m:sSub>
              </m:e>
            </m:d>
          </m:den>
        </m:f>
      </m:oMath>
      <w:r>
        <w:tab/>
      </w:r>
      <w:r w:rsidR="00FD3482">
        <w:t>(1)</w:t>
      </w:r>
    </w:p>
    <w:p w14:paraId="77C8E421" w14:textId="77777777" w:rsidR="00C9283F" w:rsidRDefault="00C8115E" w:rsidP="00C0692C">
      <w:pPr>
        <w:pStyle w:val="Equation"/>
      </w:pPr>
      <w:r w:rsidRPr="00C8115E">
        <w:rPr>
          <w:position w:val="-148"/>
        </w:rPr>
        <w:object w:dxaOrig="5780" w:dyaOrig="3080" w14:anchorId="64483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1pt;height:123.5pt" o:ole="">
            <v:imagedata r:id="rId11" o:title=""/>
          </v:shape>
          <o:OLEObject Type="Embed" ProgID="Equation.3" ShapeID="_x0000_i1033" DrawAspect="Content" ObjectID="_1656340946" r:id="rId12"/>
        </w:object>
      </w:r>
    </w:p>
    <w:p w14:paraId="70E4CCB5" w14:textId="77777777" w:rsidR="002F5464" w:rsidRPr="005F4F92" w:rsidRDefault="00C9283F" w:rsidP="00C0692C">
      <w:pPr>
        <w:pStyle w:val="Equation"/>
      </w:pPr>
      <w:r>
        <w:t xml:space="preserve">                                                                                               </w:t>
      </w:r>
      <w:r w:rsidR="00151E0C">
        <w:rPr>
          <w:rFonts w:hint="eastAsia"/>
          <w:lang w:eastAsia="ja-JP"/>
        </w:rPr>
        <w:t>(</w:t>
      </w:r>
      <w:r w:rsidR="005E4273">
        <w:rPr>
          <w:lang w:eastAsia="ja-JP"/>
        </w:rPr>
        <w:t>2</w:t>
      </w:r>
      <w:r w:rsidR="00151E0C">
        <w:rPr>
          <w:rFonts w:hint="eastAsia"/>
          <w:lang w:eastAsia="ja-JP"/>
        </w:rPr>
        <w:t>)</w:t>
      </w:r>
    </w:p>
    <w:p w14:paraId="148E2C60" w14:textId="77777777" w:rsidR="00B01FCD" w:rsidRDefault="001E0A92" w:rsidP="00A418D3">
      <w:pPr>
        <w:pStyle w:val="Head1"/>
      </w:pPr>
      <w:r>
        <w:t>SUMMARY/</w:t>
      </w:r>
      <w:r w:rsidR="00B01FCD">
        <w:t>Conclusion</w:t>
      </w:r>
      <w:r>
        <w:t>S</w:t>
      </w:r>
    </w:p>
    <w:p w14:paraId="2D4912A7" w14:textId="77777777" w:rsidR="00B01FCD" w:rsidRDefault="00B01FCD" w:rsidP="00A418D3">
      <w:pPr>
        <w:pStyle w:val="Head1"/>
      </w:pPr>
      <w:r>
        <w:t>References</w:t>
      </w:r>
    </w:p>
    <w:p w14:paraId="675D57D9" w14:textId="77777777" w:rsidR="000D56B5" w:rsidRDefault="00C205BD" w:rsidP="00236AC8">
      <w:pPr>
        <w:pStyle w:val="List-Ordered-Numeric"/>
        <w:numPr>
          <w:ilvl w:val="0"/>
          <w:numId w:val="49"/>
        </w:numPr>
      </w:pPr>
      <w:r>
        <w:t xml:space="preserve">SAE uses the </w:t>
      </w:r>
      <w:hyperlink r:id="rId13" w:history="1">
        <w:r w:rsidRPr="00680953">
          <w:t>Chicago Manual of Style</w:t>
        </w:r>
      </w:hyperlink>
      <w:r>
        <w:t xml:space="preserve"> in formatting references. In the text of the paper the citations are numerically identified using square brackets</w:t>
      </w:r>
      <w:r w:rsidR="00A54231">
        <w:t xml:space="preserve"> [1]</w:t>
      </w:r>
      <w:r>
        <w:t xml:space="preserve">. </w:t>
      </w:r>
      <w:r w:rsidR="00CC54C8">
        <w:t>Up to four authors should be listed; more than four</w:t>
      </w:r>
      <w:r w:rsidR="00A54231">
        <w:t>,</w:t>
      </w:r>
      <w:r w:rsidR="00CC54C8">
        <w:t xml:space="preserve"> et al. should be used after the fourth author is listed. </w:t>
      </w:r>
      <w:r>
        <w:t>Refer to the SAE Technical Paper Style Guide for formatting of different types of references. Below are some examples.</w:t>
      </w:r>
    </w:p>
    <w:p w14:paraId="03000F1B" w14:textId="77777777" w:rsidR="000E4E44" w:rsidRDefault="000E4E44" w:rsidP="000E4E44">
      <w:pPr>
        <w:pStyle w:val="List-Ordered-Numeric"/>
      </w:pPr>
      <w:r w:rsidRPr="000E4E44">
        <w:t>Guo, Q. and Liu, B., "Simulation and Physical Measurement of Seamless Passenger Airbag Door Deployment," SAE Technical Paper 2012-01-0082, 2012</w:t>
      </w:r>
      <w:r w:rsidR="006155E9">
        <w:t xml:space="preserve">, </w:t>
      </w:r>
      <w:r w:rsidR="006155E9" w:rsidRPr="002F1E37">
        <w:t>doi:</w:t>
      </w:r>
      <w:r w:rsidR="006155E9" w:rsidRPr="002F5464">
        <w:rPr>
          <w:u w:val="single"/>
        </w:rPr>
        <w:t>10.4271/2012-01-0082</w:t>
      </w:r>
      <w:r w:rsidRPr="000E4E44">
        <w:t>.</w:t>
      </w:r>
    </w:p>
    <w:p w14:paraId="3450282C" w14:textId="77777777" w:rsidR="000E4E44" w:rsidRDefault="000E4E44" w:rsidP="000E4E44">
      <w:pPr>
        <w:pStyle w:val="List-Ordered-Numeric"/>
      </w:pPr>
      <w:r w:rsidRPr="000E4E44">
        <w:t xml:space="preserve">Kunkel, S., Zimmer, T., and </w:t>
      </w:r>
      <w:proofErr w:type="spellStart"/>
      <w:r w:rsidRPr="000E4E44">
        <w:t>Wachtmeister</w:t>
      </w:r>
      <w:proofErr w:type="spellEnd"/>
      <w:r w:rsidRPr="000E4E44">
        <w:t>, G., "Friction Analysis of Oil Control Rings during Running-In," SAE Technical Paper 2011-01-2428, 2012</w:t>
      </w:r>
      <w:r w:rsidRPr="002F1E37">
        <w:t>, doi:</w:t>
      </w:r>
      <w:r w:rsidRPr="002F5464">
        <w:rPr>
          <w:u w:val="single"/>
        </w:rPr>
        <w:t>10.4271/2011-01-2428</w:t>
      </w:r>
      <w:r w:rsidRPr="000E4E44">
        <w:t>.</w:t>
      </w:r>
    </w:p>
    <w:p w14:paraId="0221DDA8" w14:textId="77777777" w:rsidR="000E4E44" w:rsidRDefault="000E4E44" w:rsidP="000E4E44">
      <w:pPr>
        <w:pStyle w:val="List-Ordered-Numeric"/>
      </w:pPr>
      <w:r w:rsidRPr="000E4E44">
        <w:t>Morgan, R., Scullion, P., Nix, L., Kan, C. et al., "Injury Risk Investigation of the Small, Rear-seat Occupant in Side Impact," SAE Technical Paper 2012-01-0092, 2012</w:t>
      </w:r>
      <w:r w:rsidR="00236AC8">
        <w:t>, doi:</w:t>
      </w:r>
      <w:r w:rsidR="00236AC8" w:rsidRPr="002F5464">
        <w:rPr>
          <w:u w:val="single"/>
        </w:rPr>
        <w:t>10.4271/2012-01-0092</w:t>
      </w:r>
      <w:r w:rsidRPr="002F5464">
        <w:t>.</w:t>
      </w:r>
    </w:p>
    <w:p w14:paraId="68412CF4" w14:textId="77777777" w:rsidR="00824BDB" w:rsidRPr="00824BDB" w:rsidRDefault="00824BDB" w:rsidP="00824BDB">
      <w:pPr>
        <w:pStyle w:val="List-Ordered-Numeric"/>
      </w:pPr>
      <w:r w:rsidRPr="00824BDB">
        <w:t xml:space="preserve">Kimura, Y. and Murakami, M., "Analysis of Piston Friction - Effects of Cylinder Bore Temperature Distribution and Oil Temperature," </w:t>
      </w:r>
      <w:r w:rsidRPr="00824BDB">
        <w:rPr>
          <w:i/>
          <w:iCs/>
        </w:rPr>
        <w:t xml:space="preserve">SAE Int. J. Fuels </w:t>
      </w:r>
      <w:proofErr w:type="spellStart"/>
      <w:r w:rsidRPr="00824BDB">
        <w:rPr>
          <w:i/>
          <w:iCs/>
        </w:rPr>
        <w:t>Lubr</w:t>
      </w:r>
      <w:proofErr w:type="spellEnd"/>
      <w:r w:rsidRPr="00824BDB">
        <w:rPr>
          <w:i/>
          <w:iCs/>
        </w:rPr>
        <w:t>.</w:t>
      </w:r>
      <w:r w:rsidRPr="00824BDB">
        <w:t xml:space="preserve"> 5(1):1-6, 2012, </w:t>
      </w:r>
      <w:r w:rsidRPr="002F1E37">
        <w:t>doi:</w:t>
      </w:r>
      <w:r w:rsidRPr="002F5464">
        <w:rPr>
          <w:u w:val="single"/>
        </w:rPr>
        <w:t>10.4271/2011-01-1746</w:t>
      </w:r>
      <w:r w:rsidRPr="002F5464">
        <w:t>.</w:t>
      </w:r>
    </w:p>
    <w:p w14:paraId="27666BF4" w14:textId="77777777" w:rsidR="00824BDB" w:rsidRPr="006155E9" w:rsidRDefault="00FA2863" w:rsidP="006155E9">
      <w:pPr>
        <w:pStyle w:val="List-Ordered-Numeric"/>
      </w:pPr>
      <w:r w:rsidRPr="006155E9">
        <w:t>SAE International Surface Vehicle Recommended Practice, “Laboratory Measurement of the Composite Vibration Damping Properties of Material on a Supporting Steel Bar,” SAE Standard J1637, Rev. Aug. 2007.</w:t>
      </w:r>
    </w:p>
    <w:p w14:paraId="1F483BEC" w14:textId="77777777" w:rsidR="00B01FCD" w:rsidRDefault="00B01FCD" w:rsidP="0088184E">
      <w:pPr>
        <w:pStyle w:val="Head1"/>
      </w:pPr>
      <w:r>
        <w:t>CONTACT</w:t>
      </w:r>
      <w:r w:rsidR="001E0A92">
        <w:t xml:space="preserve"> INFORMATION</w:t>
      </w:r>
    </w:p>
    <w:p w14:paraId="312F7CC4" w14:textId="77777777" w:rsidR="006155E9" w:rsidRDefault="006155E9" w:rsidP="006155E9">
      <w:r>
        <w:t>If a Contact Information section is not wanted, delete this heading</w:t>
      </w:r>
      <w:r w:rsidR="007959D7">
        <w:t xml:space="preserve"> and text</w:t>
      </w:r>
      <w:r>
        <w:t>.</w:t>
      </w:r>
    </w:p>
    <w:p w14:paraId="05D22F3E" w14:textId="77777777" w:rsidR="001E0A92" w:rsidRDefault="001E0A92" w:rsidP="001E0A92">
      <w:pPr>
        <w:pStyle w:val="Head1"/>
      </w:pPr>
      <w:r w:rsidRPr="00E37DC5">
        <w:t>Acknowledgments</w:t>
      </w:r>
    </w:p>
    <w:p w14:paraId="6B6B0E4D" w14:textId="77777777" w:rsidR="007959D7" w:rsidRDefault="007959D7" w:rsidP="007959D7">
      <w:r>
        <w:t>If the Acknowledgments section is not wanted, delete this heading and text.</w:t>
      </w:r>
    </w:p>
    <w:p w14:paraId="05108355" w14:textId="77777777" w:rsidR="00B01FCD" w:rsidRDefault="006C5FCD" w:rsidP="009E7CF2">
      <w:pPr>
        <w:pStyle w:val="Head1"/>
      </w:pPr>
      <w:r>
        <w:br w:type="page"/>
      </w:r>
      <w:r w:rsidR="001E0A92">
        <w:t>Definition</w:t>
      </w:r>
      <w:r w:rsidR="00E20066">
        <w:t>S</w:t>
      </w:r>
      <w:r w:rsidR="001E0A92">
        <w:t>/Abbreviation</w:t>
      </w:r>
      <w:r w:rsidR="00E20066">
        <w:t>S</w:t>
      </w:r>
    </w:p>
    <w:tbl>
      <w:tblPr>
        <w:tblStyle w:val="BorderlessTable"/>
        <w:tblW w:w="5148" w:type="dxa"/>
        <w:tblLook w:val="01E0" w:firstRow="1" w:lastRow="1" w:firstColumn="1" w:lastColumn="1" w:noHBand="0" w:noVBand="0"/>
      </w:tblPr>
      <w:tblGrid>
        <w:gridCol w:w="1368"/>
        <w:gridCol w:w="3780"/>
      </w:tblGrid>
      <w:tr w:rsidR="008C19F5" w:rsidRPr="00BA647B" w14:paraId="7482BA31" w14:textId="77777777" w:rsidTr="00DF2BB2">
        <w:tc>
          <w:tcPr>
            <w:tcW w:w="1368" w:type="dxa"/>
          </w:tcPr>
          <w:p w14:paraId="658B01F5" w14:textId="77777777" w:rsidR="008C19F5" w:rsidRPr="00BA647B" w:rsidRDefault="008C19F5" w:rsidP="00DF2BB2">
            <w:pPr>
              <w:pStyle w:val="DefinitionTerm"/>
            </w:pPr>
            <w:r>
              <w:t>SA</w:t>
            </w:r>
          </w:p>
        </w:tc>
        <w:tc>
          <w:tcPr>
            <w:tcW w:w="3780" w:type="dxa"/>
          </w:tcPr>
          <w:p w14:paraId="20D7090B" w14:textId="77777777" w:rsidR="008C19F5" w:rsidRPr="00BA647B" w:rsidRDefault="008C19F5" w:rsidP="00DF2BB2">
            <w:pPr>
              <w:pStyle w:val="Definition"/>
              <w:spacing w:after="0"/>
            </w:pPr>
            <w:r>
              <w:t>sample abbreviations</w:t>
            </w:r>
          </w:p>
        </w:tc>
      </w:tr>
      <w:tr w:rsidR="008C19F5" w:rsidRPr="00BA647B" w14:paraId="368FC6FD" w14:textId="77777777" w:rsidTr="00DF2BB2">
        <w:tc>
          <w:tcPr>
            <w:tcW w:w="1368" w:type="dxa"/>
          </w:tcPr>
          <w:p w14:paraId="562DE9C7" w14:textId="77777777" w:rsidR="008C19F5" w:rsidRPr="00BA647B" w:rsidRDefault="008C19F5" w:rsidP="00DF2BB2">
            <w:pPr>
              <w:pStyle w:val="DefinitionTerm"/>
            </w:pPr>
            <w:r>
              <w:t>UBT</w:t>
            </w:r>
          </w:p>
        </w:tc>
        <w:tc>
          <w:tcPr>
            <w:tcW w:w="3780" w:type="dxa"/>
          </w:tcPr>
          <w:p w14:paraId="3A6E5A6C" w14:textId="77777777" w:rsidR="008C19F5" w:rsidRPr="00BA647B" w:rsidRDefault="008C19F5" w:rsidP="00DF2BB2">
            <w:pPr>
              <w:pStyle w:val="Definition"/>
              <w:spacing w:after="0"/>
            </w:pPr>
            <w:r>
              <w:t>use borderless table ≤ 3.5 inches wide</w:t>
            </w:r>
          </w:p>
        </w:tc>
      </w:tr>
      <w:tr w:rsidR="00CD7086" w:rsidRPr="00BA647B" w14:paraId="51B671E1" w14:textId="77777777" w:rsidTr="00DF2BB2">
        <w:tc>
          <w:tcPr>
            <w:tcW w:w="1368" w:type="dxa"/>
          </w:tcPr>
          <w:p w14:paraId="44D1A503" w14:textId="77777777" w:rsidR="00CD7086" w:rsidRDefault="00CD7086" w:rsidP="00DF2BB2">
            <w:pPr>
              <w:pStyle w:val="DefinitionTerm"/>
            </w:pPr>
            <w:r>
              <w:t>test vector</w:t>
            </w:r>
          </w:p>
        </w:tc>
        <w:tc>
          <w:tcPr>
            <w:tcW w:w="3780" w:type="dxa"/>
          </w:tcPr>
          <w:p w14:paraId="39B43A68" w14:textId="77777777" w:rsidR="00CD7086" w:rsidRDefault="00CD7086" w:rsidP="00DF2BB2">
            <w:pPr>
              <w:pStyle w:val="Definition"/>
              <w:spacing w:after="0"/>
            </w:pPr>
            <w:r>
              <w:t>do not capitalize term unless an acronym</w:t>
            </w:r>
            <w:r w:rsidR="00DF2BB2">
              <w:t xml:space="preserve"> or proper noun</w:t>
            </w:r>
          </w:p>
          <w:p w14:paraId="52318B36" w14:textId="77777777" w:rsidR="002B1648" w:rsidRPr="002B1648" w:rsidRDefault="002B1648" w:rsidP="002B1648"/>
        </w:tc>
      </w:tr>
    </w:tbl>
    <w:p w14:paraId="5F3BA7B8" w14:textId="77777777" w:rsidR="00C511C8" w:rsidRDefault="00C511C8" w:rsidP="00C511C8">
      <w:pPr>
        <w:pStyle w:val="Author"/>
        <w:rPr>
          <w:szCs w:val="28"/>
        </w:rPr>
      </w:pPr>
      <w:r>
        <w:br w:type="page"/>
      </w:r>
    </w:p>
    <w:p w14:paraId="0E9E15AA" w14:textId="77777777" w:rsidR="00C511C8" w:rsidRDefault="00C511C8" w:rsidP="00E20066">
      <w:pPr>
        <w:pStyle w:val="Head1"/>
        <w:sectPr w:rsidR="00C511C8" w:rsidSect="006009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B1C9BC" w14:textId="77777777" w:rsidR="00E21ADE" w:rsidRDefault="00B01FCD" w:rsidP="00E20066">
      <w:pPr>
        <w:pStyle w:val="Head1"/>
      </w:pPr>
      <w:r>
        <w:t>APPENDIX</w:t>
      </w:r>
    </w:p>
    <w:p w14:paraId="7C952D3A" w14:textId="77777777" w:rsidR="006009F0" w:rsidRDefault="006009F0" w:rsidP="006009F0">
      <w:r>
        <w:t>The Appendix is one-column</w:t>
      </w:r>
      <w:r w:rsidR="007F70DE">
        <w:t xml:space="preserve">. </w:t>
      </w:r>
      <w:r>
        <w:t>If you have an appendix in your document, you will need to insert a continuous page break and set the columns to one</w:t>
      </w:r>
      <w:r w:rsidR="007F70DE">
        <w:t xml:space="preserve">. </w:t>
      </w:r>
      <w:r>
        <w:t>If you do not have an appendix in your document, this paragraph can be ignored</w:t>
      </w:r>
      <w:r w:rsidR="00CD7086">
        <w:t xml:space="preserve"> and the heading </w:t>
      </w:r>
      <w:r w:rsidR="00C511C8">
        <w:t xml:space="preserve">and section break </w:t>
      </w:r>
      <w:r w:rsidR="00CD7086">
        <w:t>deleted</w:t>
      </w:r>
      <w:r>
        <w:t>.</w:t>
      </w:r>
    </w:p>
    <w:sectPr w:rsidR="006009F0" w:rsidSect="00C51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F6923" w14:textId="77777777" w:rsidR="002B3137" w:rsidRDefault="002B3137" w:rsidP="00A418D3">
      <w:r>
        <w:separator/>
      </w:r>
    </w:p>
  </w:endnote>
  <w:endnote w:type="continuationSeparator" w:id="0">
    <w:p w14:paraId="01ED1CD9" w14:textId="77777777" w:rsidR="002B3137" w:rsidRDefault="002B3137" w:rsidP="00A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7079" w14:textId="77777777" w:rsidR="00CC54C8" w:rsidRPr="009F7DCB" w:rsidRDefault="00CC54C8" w:rsidP="009F7DCB">
    <w:r w:rsidRPr="009F7DCB">
      <w:fldChar w:fldCharType="begin"/>
    </w:r>
    <w:r w:rsidRPr="009F7DCB">
      <w:instrText xml:space="preserve">PAGE  </w:instrText>
    </w:r>
    <w:r w:rsidRPr="009F7DCB">
      <w:fldChar w:fldCharType="end"/>
    </w:r>
  </w:p>
  <w:p w14:paraId="1E83BE02" w14:textId="77777777" w:rsidR="00CC54C8" w:rsidRDefault="00CC54C8" w:rsidP="00C621E9"/>
  <w:p w14:paraId="3F1D035B" w14:textId="77777777" w:rsidR="00CC54C8" w:rsidRDefault="00CC54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0477"/>
      <w:docPartObj>
        <w:docPartGallery w:val="Page Numbers (Top of Page)"/>
        <w:docPartUnique/>
      </w:docPartObj>
    </w:sdtPr>
    <w:sdtEndPr/>
    <w:sdtContent>
      <w:p w14:paraId="178B17DC" w14:textId="77777777" w:rsidR="00CC54C8" w:rsidRPr="00BF0C74" w:rsidRDefault="00CC54C8" w:rsidP="004676DD">
        <w:r w:rsidRPr="00BF0C74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F1D49">
          <w:rPr>
            <w:noProof/>
          </w:rPr>
          <w:t>1</w:t>
        </w:r>
        <w:r>
          <w:rPr>
            <w:noProof/>
          </w:rPr>
          <w:fldChar w:fldCharType="end"/>
        </w:r>
        <w:r w:rsidRPr="00BF0C74">
          <w:t xml:space="preserve"> of </w:t>
        </w:r>
        <w:r w:rsidR="002B3137">
          <w:fldChar w:fldCharType="begin"/>
        </w:r>
        <w:r w:rsidR="002B3137">
          <w:instrText xml:space="preserve"> NUMPAGES  </w:instrText>
        </w:r>
        <w:r w:rsidR="002B3137">
          <w:fldChar w:fldCharType="separate"/>
        </w:r>
        <w:r w:rsidR="00BF1D49">
          <w:rPr>
            <w:noProof/>
          </w:rPr>
          <w:t>4</w:t>
        </w:r>
        <w:r w:rsidR="002B3137">
          <w:rPr>
            <w:noProof/>
          </w:rPr>
          <w:fldChar w:fldCharType="end"/>
        </w:r>
      </w:p>
    </w:sdtContent>
  </w:sdt>
  <w:p w14:paraId="4E1F12E9" w14:textId="77777777" w:rsidR="00CC54C8" w:rsidRDefault="00CC54C8" w:rsidP="00A418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C2F0" w14:textId="77777777" w:rsidR="002B3137" w:rsidRDefault="002B3137" w:rsidP="00A418D3">
      <w:r>
        <w:separator/>
      </w:r>
    </w:p>
  </w:footnote>
  <w:footnote w:type="continuationSeparator" w:id="0">
    <w:p w14:paraId="21EB3409" w14:textId="77777777" w:rsidR="002B3137" w:rsidRDefault="002B3137" w:rsidP="00A4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B078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E24B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C89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CE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C286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E81D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2EB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F8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4C8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DB3588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53B8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3" w15:restartNumberingAfterBreak="0">
    <w:nsid w:val="0545617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4" w15:restartNumberingAfterBreak="0">
    <w:nsid w:val="07DC245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5" w15:restartNumberingAfterBreak="0">
    <w:nsid w:val="08044512"/>
    <w:multiLevelType w:val="multilevel"/>
    <w:tmpl w:val="771A95AA"/>
    <w:lvl w:ilvl="0">
      <w:start w:val="1"/>
      <w:numFmt w:val="decimal"/>
      <w:pStyle w:val="List-Ordered-Numeric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9A26EC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7" w15:restartNumberingAfterBreak="0">
    <w:nsid w:val="0EC833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8" w15:restartNumberingAfterBreak="0">
    <w:nsid w:val="193B2D1D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9" w15:restartNumberingAfterBreak="0">
    <w:nsid w:val="1A8229D6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15D69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1" w15:restartNumberingAfterBreak="0">
    <w:nsid w:val="1FD91193"/>
    <w:multiLevelType w:val="hybridMultilevel"/>
    <w:tmpl w:val="A9A0E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B564C6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3" w15:restartNumberingAfterBreak="0">
    <w:nsid w:val="24AA584B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1541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5" w15:restartNumberingAfterBreak="0">
    <w:nsid w:val="2D7946B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6" w15:restartNumberingAfterBreak="0">
    <w:nsid w:val="2EF941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7" w15:restartNumberingAfterBreak="0">
    <w:nsid w:val="310972C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8" w15:restartNumberingAfterBreak="0">
    <w:nsid w:val="38875CB0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D1981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C5ABA"/>
    <w:multiLevelType w:val="singleLevel"/>
    <w:tmpl w:val="A1B04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4E9C0A56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5F3778F8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3" w15:restartNumberingAfterBreak="0">
    <w:nsid w:val="5F922958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4D4E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16E4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6" w15:restartNumberingAfterBreak="0">
    <w:nsid w:val="6DB50918"/>
    <w:multiLevelType w:val="hybridMultilevel"/>
    <w:tmpl w:val="290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02573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04DCD"/>
    <w:multiLevelType w:val="singleLevel"/>
    <w:tmpl w:val="E368B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997DC5"/>
    <w:multiLevelType w:val="singleLevel"/>
    <w:tmpl w:val="A1B04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741A595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41" w15:restartNumberingAfterBreak="0">
    <w:nsid w:val="7477441B"/>
    <w:multiLevelType w:val="singleLevel"/>
    <w:tmpl w:val="199E1F42"/>
    <w:lvl w:ilvl="0">
      <w:start w:val="1"/>
      <w:numFmt w:val="decimal"/>
      <w:lvlText w:val="%1"/>
      <w:legacy w:legacy="1" w:legacySpace="0" w:legacyIndent="360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2" w15:restartNumberingAfterBreak="0">
    <w:nsid w:val="77B11CDB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82D2992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44" w15:restartNumberingAfterBreak="0">
    <w:nsid w:val="7E3461A3"/>
    <w:multiLevelType w:val="hybridMultilevel"/>
    <w:tmpl w:val="63BC7C7C"/>
    <w:lvl w:ilvl="0" w:tplc="38080CD6">
      <w:start w:val="1"/>
      <w:numFmt w:val="bullet"/>
      <w:pStyle w:val="List-Unord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7D3A3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41"/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18"/>
  </w:num>
  <w:num w:numId="6">
    <w:abstractNumId w:val="17"/>
  </w:num>
  <w:num w:numId="7">
    <w:abstractNumId w:val="12"/>
  </w:num>
  <w:num w:numId="8">
    <w:abstractNumId w:val="25"/>
  </w:num>
  <w:num w:numId="9">
    <w:abstractNumId w:val="43"/>
  </w:num>
  <w:num w:numId="10">
    <w:abstractNumId w:val="13"/>
  </w:num>
  <w:num w:numId="11">
    <w:abstractNumId w:val="35"/>
  </w:num>
  <w:num w:numId="12">
    <w:abstractNumId w:val="14"/>
  </w:num>
  <w:num w:numId="13">
    <w:abstractNumId w:val="32"/>
  </w:num>
  <w:num w:numId="14">
    <w:abstractNumId w:val="20"/>
  </w:num>
  <w:num w:numId="15">
    <w:abstractNumId w:val="39"/>
  </w:num>
  <w:num w:numId="16">
    <w:abstractNumId w:val="16"/>
  </w:num>
  <w:num w:numId="17">
    <w:abstractNumId w:val="40"/>
  </w:num>
  <w:num w:numId="18">
    <w:abstractNumId w:val="27"/>
  </w:num>
  <w:num w:numId="19">
    <w:abstractNumId w:val="45"/>
  </w:num>
  <w:num w:numId="20">
    <w:abstractNumId w:val="24"/>
  </w:num>
  <w:num w:numId="21">
    <w:abstractNumId w:val="22"/>
  </w:num>
  <w:num w:numId="22">
    <w:abstractNumId w:val="26"/>
  </w:num>
  <w:num w:numId="23">
    <w:abstractNumId w:val="38"/>
  </w:num>
  <w:num w:numId="24">
    <w:abstractNumId w:val="31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26">
    <w:abstractNumId w:val="42"/>
  </w:num>
  <w:num w:numId="27">
    <w:abstractNumId w:val="21"/>
  </w:num>
  <w:num w:numId="28">
    <w:abstractNumId w:val="19"/>
  </w:num>
  <w:num w:numId="29">
    <w:abstractNumId w:val="34"/>
  </w:num>
  <w:num w:numId="30">
    <w:abstractNumId w:val="33"/>
  </w:num>
  <w:num w:numId="31">
    <w:abstractNumId w:val="11"/>
  </w:num>
  <w:num w:numId="32">
    <w:abstractNumId w:val="23"/>
  </w:num>
  <w:num w:numId="33">
    <w:abstractNumId w:val="37"/>
  </w:num>
  <w:num w:numId="34">
    <w:abstractNumId w:val="28"/>
  </w:num>
  <w:num w:numId="35">
    <w:abstractNumId w:val="44"/>
  </w:num>
  <w:num w:numId="36">
    <w:abstractNumId w:val="36"/>
  </w:num>
  <w:num w:numId="37">
    <w:abstractNumId w:val="29"/>
  </w:num>
  <w:num w:numId="38">
    <w:abstractNumId w:val="1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49"/>
    <w:rsid w:val="00030174"/>
    <w:rsid w:val="00031728"/>
    <w:rsid w:val="00031B68"/>
    <w:rsid w:val="00056067"/>
    <w:rsid w:val="0005744B"/>
    <w:rsid w:val="00060DD2"/>
    <w:rsid w:val="00066663"/>
    <w:rsid w:val="0006755B"/>
    <w:rsid w:val="000808C6"/>
    <w:rsid w:val="000948CC"/>
    <w:rsid w:val="000A1AA0"/>
    <w:rsid w:val="000A65D3"/>
    <w:rsid w:val="000A7D3D"/>
    <w:rsid w:val="000B759B"/>
    <w:rsid w:val="000C744F"/>
    <w:rsid w:val="000D2A1B"/>
    <w:rsid w:val="000D56B5"/>
    <w:rsid w:val="000E4E44"/>
    <w:rsid w:val="000F51C0"/>
    <w:rsid w:val="0010106B"/>
    <w:rsid w:val="00101168"/>
    <w:rsid w:val="001027A5"/>
    <w:rsid w:val="00104931"/>
    <w:rsid w:val="00112558"/>
    <w:rsid w:val="001137C5"/>
    <w:rsid w:val="00134901"/>
    <w:rsid w:val="0014104B"/>
    <w:rsid w:val="00145F4C"/>
    <w:rsid w:val="00151E0C"/>
    <w:rsid w:val="00176CFC"/>
    <w:rsid w:val="00184623"/>
    <w:rsid w:val="00187F22"/>
    <w:rsid w:val="001C0F88"/>
    <w:rsid w:val="001D1C28"/>
    <w:rsid w:val="001D2695"/>
    <w:rsid w:val="001D47E6"/>
    <w:rsid w:val="001E0A92"/>
    <w:rsid w:val="001E6FE0"/>
    <w:rsid w:val="001E75DC"/>
    <w:rsid w:val="001F29BF"/>
    <w:rsid w:val="001F2DFC"/>
    <w:rsid w:val="00200166"/>
    <w:rsid w:val="00217179"/>
    <w:rsid w:val="002249F8"/>
    <w:rsid w:val="0023013F"/>
    <w:rsid w:val="002355A8"/>
    <w:rsid w:val="00236AC8"/>
    <w:rsid w:val="002459CC"/>
    <w:rsid w:val="00253D84"/>
    <w:rsid w:val="00256CA8"/>
    <w:rsid w:val="00256E10"/>
    <w:rsid w:val="002734A8"/>
    <w:rsid w:val="002741E9"/>
    <w:rsid w:val="0028144E"/>
    <w:rsid w:val="00283D55"/>
    <w:rsid w:val="00284991"/>
    <w:rsid w:val="00284A18"/>
    <w:rsid w:val="002933F0"/>
    <w:rsid w:val="002A345A"/>
    <w:rsid w:val="002A3DC2"/>
    <w:rsid w:val="002A76DC"/>
    <w:rsid w:val="002A7A9D"/>
    <w:rsid w:val="002B1648"/>
    <w:rsid w:val="002B3137"/>
    <w:rsid w:val="002C0024"/>
    <w:rsid w:val="002C0E22"/>
    <w:rsid w:val="002D0E56"/>
    <w:rsid w:val="002D3324"/>
    <w:rsid w:val="002D4E1B"/>
    <w:rsid w:val="002D60E0"/>
    <w:rsid w:val="002E0F3C"/>
    <w:rsid w:val="002E2BD5"/>
    <w:rsid w:val="002E4534"/>
    <w:rsid w:val="002F1E37"/>
    <w:rsid w:val="002F41FF"/>
    <w:rsid w:val="002F5464"/>
    <w:rsid w:val="0030027D"/>
    <w:rsid w:val="00310513"/>
    <w:rsid w:val="00321C96"/>
    <w:rsid w:val="00327F61"/>
    <w:rsid w:val="00336470"/>
    <w:rsid w:val="00341AFC"/>
    <w:rsid w:val="0035590F"/>
    <w:rsid w:val="0037583A"/>
    <w:rsid w:val="003758FD"/>
    <w:rsid w:val="00383FF7"/>
    <w:rsid w:val="003B012B"/>
    <w:rsid w:val="003B2388"/>
    <w:rsid w:val="003C05EF"/>
    <w:rsid w:val="003C1FE8"/>
    <w:rsid w:val="003D0F6E"/>
    <w:rsid w:val="003D3C65"/>
    <w:rsid w:val="003D709D"/>
    <w:rsid w:val="003F2AAF"/>
    <w:rsid w:val="00404F43"/>
    <w:rsid w:val="00406291"/>
    <w:rsid w:val="0040762F"/>
    <w:rsid w:val="0041682E"/>
    <w:rsid w:val="00420DC9"/>
    <w:rsid w:val="00422EE9"/>
    <w:rsid w:val="00424C9C"/>
    <w:rsid w:val="004262CE"/>
    <w:rsid w:val="00445ACE"/>
    <w:rsid w:val="00451CBA"/>
    <w:rsid w:val="00453333"/>
    <w:rsid w:val="00453FEB"/>
    <w:rsid w:val="004623C5"/>
    <w:rsid w:val="004676DD"/>
    <w:rsid w:val="00471829"/>
    <w:rsid w:val="00474C22"/>
    <w:rsid w:val="00482161"/>
    <w:rsid w:val="004A14DD"/>
    <w:rsid w:val="004B22FF"/>
    <w:rsid w:val="004C4350"/>
    <w:rsid w:val="004C597E"/>
    <w:rsid w:val="004C6518"/>
    <w:rsid w:val="004D6BAB"/>
    <w:rsid w:val="004E4063"/>
    <w:rsid w:val="004F471A"/>
    <w:rsid w:val="004F7B25"/>
    <w:rsid w:val="005064D6"/>
    <w:rsid w:val="00515C24"/>
    <w:rsid w:val="005228B9"/>
    <w:rsid w:val="0053056E"/>
    <w:rsid w:val="0053460F"/>
    <w:rsid w:val="00534690"/>
    <w:rsid w:val="00543C02"/>
    <w:rsid w:val="00563CA2"/>
    <w:rsid w:val="0056575F"/>
    <w:rsid w:val="00565800"/>
    <w:rsid w:val="00571B58"/>
    <w:rsid w:val="00576410"/>
    <w:rsid w:val="005921D3"/>
    <w:rsid w:val="0059606F"/>
    <w:rsid w:val="005A4977"/>
    <w:rsid w:val="005B31C1"/>
    <w:rsid w:val="005B7676"/>
    <w:rsid w:val="005C3785"/>
    <w:rsid w:val="005D34ED"/>
    <w:rsid w:val="005E1A29"/>
    <w:rsid w:val="005E4273"/>
    <w:rsid w:val="006009F0"/>
    <w:rsid w:val="006155E9"/>
    <w:rsid w:val="00615646"/>
    <w:rsid w:val="00615BE0"/>
    <w:rsid w:val="00622391"/>
    <w:rsid w:val="00622BFF"/>
    <w:rsid w:val="00643687"/>
    <w:rsid w:val="006515E5"/>
    <w:rsid w:val="006812CF"/>
    <w:rsid w:val="00682EE1"/>
    <w:rsid w:val="00684B6B"/>
    <w:rsid w:val="0069397B"/>
    <w:rsid w:val="00693ABA"/>
    <w:rsid w:val="006B751B"/>
    <w:rsid w:val="006C5FCD"/>
    <w:rsid w:val="006D3C6E"/>
    <w:rsid w:val="006D7235"/>
    <w:rsid w:val="006E120E"/>
    <w:rsid w:val="006E5CB1"/>
    <w:rsid w:val="007029E1"/>
    <w:rsid w:val="0072764B"/>
    <w:rsid w:val="00733DD9"/>
    <w:rsid w:val="00753D77"/>
    <w:rsid w:val="00765313"/>
    <w:rsid w:val="0077749E"/>
    <w:rsid w:val="007871A8"/>
    <w:rsid w:val="007959D7"/>
    <w:rsid w:val="00795DD7"/>
    <w:rsid w:val="00796FA0"/>
    <w:rsid w:val="007A3256"/>
    <w:rsid w:val="007A7560"/>
    <w:rsid w:val="007B3EFE"/>
    <w:rsid w:val="007C0327"/>
    <w:rsid w:val="007D22DD"/>
    <w:rsid w:val="007F5607"/>
    <w:rsid w:val="007F70DE"/>
    <w:rsid w:val="00812A8D"/>
    <w:rsid w:val="008137EB"/>
    <w:rsid w:val="00824BDB"/>
    <w:rsid w:val="00840A4A"/>
    <w:rsid w:val="00842151"/>
    <w:rsid w:val="00853F8C"/>
    <w:rsid w:val="008554A6"/>
    <w:rsid w:val="00866A7E"/>
    <w:rsid w:val="00867DF2"/>
    <w:rsid w:val="0088184E"/>
    <w:rsid w:val="00886E8E"/>
    <w:rsid w:val="00892FD4"/>
    <w:rsid w:val="008C19F5"/>
    <w:rsid w:val="008D142E"/>
    <w:rsid w:val="008D2D21"/>
    <w:rsid w:val="008E1A38"/>
    <w:rsid w:val="008E34D0"/>
    <w:rsid w:val="008E573A"/>
    <w:rsid w:val="008E711F"/>
    <w:rsid w:val="009002DE"/>
    <w:rsid w:val="009006DC"/>
    <w:rsid w:val="009035C5"/>
    <w:rsid w:val="00910060"/>
    <w:rsid w:val="0095524D"/>
    <w:rsid w:val="00955ABA"/>
    <w:rsid w:val="009662C3"/>
    <w:rsid w:val="00975EEF"/>
    <w:rsid w:val="009834C9"/>
    <w:rsid w:val="009906DF"/>
    <w:rsid w:val="00992FCB"/>
    <w:rsid w:val="00994EA9"/>
    <w:rsid w:val="009978DE"/>
    <w:rsid w:val="009A13AC"/>
    <w:rsid w:val="009C1D75"/>
    <w:rsid w:val="009C5CC3"/>
    <w:rsid w:val="009D4831"/>
    <w:rsid w:val="009D5F0A"/>
    <w:rsid w:val="009E01B6"/>
    <w:rsid w:val="009E7CF2"/>
    <w:rsid w:val="009F779A"/>
    <w:rsid w:val="009F7DCB"/>
    <w:rsid w:val="00A02501"/>
    <w:rsid w:val="00A02C3D"/>
    <w:rsid w:val="00A1434C"/>
    <w:rsid w:val="00A15FDC"/>
    <w:rsid w:val="00A20246"/>
    <w:rsid w:val="00A26FE9"/>
    <w:rsid w:val="00A34E09"/>
    <w:rsid w:val="00A418D3"/>
    <w:rsid w:val="00A53AC7"/>
    <w:rsid w:val="00A54231"/>
    <w:rsid w:val="00A5493C"/>
    <w:rsid w:val="00A748E0"/>
    <w:rsid w:val="00A7570D"/>
    <w:rsid w:val="00A766CE"/>
    <w:rsid w:val="00A901A5"/>
    <w:rsid w:val="00A91C18"/>
    <w:rsid w:val="00A91C7A"/>
    <w:rsid w:val="00A92F87"/>
    <w:rsid w:val="00A97E1A"/>
    <w:rsid w:val="00AA6461"/>
    <w:rsid w:val="00AB0203"/>
    <w:rsid w:val="00AB2B1E"/>
    <w:rsid w:val="00AC6BEC"/>
    <w:rsid w:val="00AC78D1"/>
    <w:rsid w:val="00AD4E14"/>
    <w:rsid w:val="00AD6441"/>
    <w:rsid w:val="00AD7F24"/>
    <w:rsid w:val="00AE5CFC"/>
    <w:rsid w:val="00AF6954"/>
    <w:rsid w:val="00B019CD"/>
    <w:rsid w:val="00B01FCD"/>
    <w:rsid w:val="00B0413D"/>
    <w:rsid w:val="00B10F00"/>
    <w:rsid w:val="00B22EC2"/>
    <w:rsid w:val="00B33F67"/>
    <w:rsid w:val="00B343DC"/>
    <w:rsid w:val="00B41D03"/>
    <w:rsid w:val="00B4560F"/>
    <w:rsid w:val="00B73E6B"/>
    <w:rsid w:val="00BA5C6B"/>
    <w:rsid w:val="00BA67D3"/>
    <w:rsid w:val="00BB0F44"/>
    <w:rsid w:val="00BB10BC"/>
    <w:rsid w:val="00BB23D0"/>
    <w:rsid w:val="00BB52DD"/>
    <w:rsid w:val="00BE3714"/>
    <w:rsid w:val="00BF0C74"/>
    <w:rsid w:val="00BF1D49"/>
    <w:rsid w:val="00BF5794"/>
    <w:rsid w:val="00C0692C"/>
    <w:rsid w:val="00C06DB0"/>
    <w:rsid w:val="00C124C3"/>
    <w:rsid w:val="00C205BD"/>
    <w:rsid w:val="00C25019"/>
    <w:rsid w:val="00C25ADE"/>
    <w:rsid w:val="00C34922"/>
    <w:rsid w:val="00C511C8"/>
    <w:rsid w:val="00C512D0"/>
    <w:rsid w:val="00C519AC"/>
    <w:rsid w:val="00C621E9"/>
    <w:rsid w:val="00C65EFC"/>
    <w:rsid w:val="00C70F1B"/>
    <w:rsid w:val="00C7287D"/>
    <w:rsid w:val="00C74388"/>
    <w:rsid w:val="00C806B0"/>
    <w:rsid w:val="00C8115E"/>
    <w:rsid w:val="00C824BD"/>
    <w:rsid w:val="00C85D3B"/>
    <w:rsid w:val="00C92191"/>
    <w:rsid w:val="00C9283F"/>
    <w:rsid w:val="00C9344F"/>
    <w:rsid w:val="00CA2ABA"/>
    <w:rsid w:val="00CB399E"/>
    <w:rsid w:val="00CC3F12"/>
    <w:rsid w:val="00CC54C8"/>
    <w:rsid w:val="00CD0C3E"/>
    <w:rsid w:val="00CD7086"/>
    <w:rsid w:val="00CE1255"/>
    <w:rsid w:val="00CE62B5"/>
    <w:rsid w:val="00CE7D82"/>
    <w:rsid w:val="00CF67D0"/>
    <w:rsid w:val="00D03790"/>
    <w:rsid w:val="00D220FF"/>
    <w:rsid w:val="00D25890"/>
    <w:rsid w:val="00D317E2"/>
    <w:rsid w:val="00D31CA6"/>
    <w:rsid w:val="00D400A8"/>
    <w:rsid w:val="00D53402"/>
    <w:rsid w:val="00D60647"/>
    <w:rsid w:val="00D71F6D"/>
    <w:rsid w:val="00D76E7B"/>
    <w:rsid w:val="00D7754F"/>
    <w:rsid w:val="00D95157"/>
    <w:rsid w:val="00DA7FA0"/>
    <w:rsid w:val="00DB268A"/>
    <w:rsid w:val="00DD5E12"/>
    <w:rsid w:val="00DE18AB"/>
    <w:rsid w:val="00DF2BB2"/>
    <w:rsid w:val="00DF6B61"/>
    <w:rsid w:val="00E01BD3"/>
    <w:rsid w:val="00E05022"/>
    <w:rsid w:val="00E14938"/>
    <w:rsid w:val="00E17F5A"/>
    <w:rsid w:val="00E20066"/>
    <w:rsid w:val="00E21ADE"/>
    <w:rsid w:val="00E25DD3"/>
    <w:rsid w:val="00E32BB4"/>
    <w:rsid w:val="00E37DC5"/>
    <w:rsid w:val="00E43931"/>
    <w:rsid w:val="00E43998"/>
    <w:rsid w:val="00E52CD3"/>
    <w:rsid w:val="00E601AC"/>
    <w:rsid w:val="00E6556E"/>
    <w:rsid w:val="00E81994"/>
    <w:rsid w:val="00E90967"/>
    <w:rsid w:val="00E92199"/>
    <w:rsid w:val="00EA6719"/>
    <w:rsid w:val="00EB29A5"/>
    <w:rsid w:val="00EE1BCF"/>
    <w:rsid w:val="00EE4921"/>
    <w:rsid w:val="00EF4D47"/>
    <w:rsid w:val="00F0220B"/>
    <w:rsid w:val="00F04F83"/>
    <w:rsid w:val="00F17988"/>
    <w:rsid w:val="00F345B4"/>
    <w:rsid w:val="00F4768D"/>
    <w:rsid w:val="00F502DB"/>
    <w:rsid w:val="00F641DA"/>
    <w:rsid w:val="00F76AEA"/>
    <w:rsid w:val="00F85EBC"/>
    <w:rsid w:val="00FA2863"/>
    <w:rsid w:val="00FB53F1"/>
    <w:rsid w:val="00FB599C"/>
    <w:rsid w:val="00FC230D"/>
    <w:rsid w:val="00FD3482"/>
    <w:rsid w:val="00FE24DE"/>
    <w:rsid w:val="00FE434A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5E81098"/>
  <w15:docId w15:val="{D0F81F74-6C8E-47B8-8DA2-8CE89D24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41682E"/>
    <w:pPr>
      <w:spacing w:after="240"/>
    </w:pPr>
    <w:rPr>
      <w:sz w:val="20"/>
    </w:rPr>
  </w:style>
  <w:style w:type="paragraph" w:styleId="Heading1">
    <w:name w:val="heading 1"/>
    <w:basedOn w:val="Normal"/>
    <w:next w:val="Normal"/>
    <w:semiHidden/>
    <w:unhideWhenUsed/>
    <w:qFormat/>
    <w:locked/>
    <w:rsid w:val="002D3324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semiHidden/>
    <w:unhideWhenUsed/>
    <w:qFormat/>
    <w:locked/>
    <w:rsid w:val="000D2A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locked/>
    <w:rsid w:val="000D2A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qFormat/>
    <w:rsid w:val="009D4831"/>
    <w:pPr>
      <w:spacing w:after="0" w:line="280" w:lineRule="exact"/>
      <w:jc w:val="right"/>
    </w:pPr>
    <w:rPr>
      <w:b/>
      <w:sz w:val="28"/>
    </w:rPr>
  </w:style>
  <w:style w:type="paragraph" w:customStyle="1" w:styleId="Affiliation">
    <w:name w:val="Affiliation"/>
    <w:basedOn w:val="Normal"/>
    <w:qFormat/>
    <w:rsid w:val="00A418D3"/>
    <w:pPr>
      <w:spacing w:line="240" w:lineRule="exact"/>
      <w:jc w:val="right"/>
    </w:pPr>
  </w:style>
  <w:style w:type="paragraph" w:styleId="Header">
    <w:name w:val="header"/>
    <w:basedOn w:val="Normal"/>
    <w:link w:val="HeaderChar"/>
    <w:semiHidden/>
    <w:locked/>
    <w:rsid w:val="005B31C1"/>
    <w:pPr>
      <w:tabs>
        <w:tab w:val="center" w:pos="4680"/>
        <w:tab w:val="right" w:pos="9360"/>
      </w:tabs>
      <w:spacing w:after="0"/>
    </w:pPr>
  </w:style>
  <w:style w:type="paragraph" w:customStyle="1" w:styleId="PaperNumber">
    <w:name w:val="Paper Number"/>
    <w:basedOn w:val="Normal"/>
    <w:next w:val="Author"/>
    <w:qFormat/>
    <w:rsid w:val="00A418D3"/>
    <w:pPr>
      <w:spacing w:after="280" w:line="280" w:lineRule="exact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5B31C1"/>
    <w:rPr>
      <w:rFonts w:ascii="Arial" w:hAnsi="Arial"/>
    </w:rPr>
  </w:style>
  <w:style w:type="character" w:styleId="FootnoteReference">
    <w:name w:val="footnote reference"/>
    <w:basedOn w:val="DefaultParagraphFont"/>
    <w:qFormat/>
    <w:rsid w:val="004E4063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rsid w:val="00955ABA"/>
    <w:rPr>
      <w:szCs w:val="20"/>
    </w:rPr>
  </w:style>
  <w:style w:type="paragraph" w:customStyle="1" w:styleId="Copyright">
    <w:name w:val="Copyright"/>
    <w:basedOn w:val="Normal"/>
    <w:qFormat/>
    <w:rsid w:val="00842151"/>
    <w:pPr>
      <w:spacing w:after="960" w:line="200" w:lineRule="exact"/>
    </w:pPr>
    <w:rPr>
      <w:sz w:val="16"/>
    </w:rPr>
  </w:style>
  <w:style w:type="paragraph" w:styleId="Title">
    <w:name w:val="Title"/>
    <w:basedOn w:val="Normal"/>
    <w:qFormat/>
    <w:rsid w:val="00A418D3"/>
    <w:pPr>
      <w:spacing w:after="360"/>
      <w:jc w:val="right"/>
    </w:pPr>
    <w:rPr>
      <w:b/>
      <w:kern w:val="28"/>
      <w:sz w:val="36"/>
    </w:rPr>
  </w:style>
  <w:style w:type="paragraph" w:customStyle="1" w:styleId="Head1">
    <w:name w:val="Head1"/>
    <w:basedOn w:val="Normal"/>
    <w:qFormat/>
    <w:rsid w:val="006812CF"/>
    <w:pPr>
      <w:keepNext/>
    </w:pPr>
    <w:rPr>
      <w:b/>
      <w:caps/>
      <w:sz w:val="28"/>
      <w:szCs w:val="28"/>
      <w:u w:val="single"/>
    </w:rPr>
  </w:style>
  <w:style w:type="paragraph" w:customStyle="1" w:styleId="Head3">
    <w:name w:val="Head3"/>
    <w:basedOn w:val="Head2"/>
    <w:next w:val="Normal"/>
    <w:qFormat/>
    <w:rsid w:val="006812CF"/>
    <w:rPr>
      <w:sz w:val="24"/>
      <w:u w:val="single"/>
    </w:rPr>
  </w:style>
  <w:style w:type="paragraph" w:customStyle="1" w:styleId="Head4">
    <w:name w:val="Head4"/>
    <w:basedOn w:val="Head3"/>
    <w:next w:val="Normal"/>
    <w:qFormat/>
    <w:rsid w:val="006812CF"/>
    <w:rPr>
      <w:i/>
      <w:u w:val="none"/>
    </w:rPr>
  </w:style>
  <w:style w:type="paragraph" w:customStyle="1" w:styleId="List-Unordered">
    <w:name w:val="List-Unordered"/>
    <w:basedOn w:val="Normal"/>
    <w:qFormat/>
    <w:rsid w:val="00AD7F24"/>
    <w:pPr>
      <w:numPr>
        <w:numId w:val="35"/>
      </w:numPr>
      <w:contextualSpacing/>
    </w:pPr>
  </w:style>
  <w:style w:type="paragraph" w:customStyle="1" w:styleId="List-Ordered-Numeric">
    <w:name w:val="List-Ordered-Numeric"/>
    <w:basedOn w:val="Normal"/>
    <w:qFormat/>
    <w:rsid w:val="00C824BD"/>
    <w:pPr>
      <w:numPr>
        <w:numId w:val="38"/>
      </w:numPr>
      <w:contextualSpacing/>
    </w:pPr>
  </w:style>
  <w:style w:type="paragraph" w:customStyle="1" w:styleId="Head2">
    <w:name w:val="Head2"/>
    <w:basedOn w:val="Normal"/>
    <w:next w:val="Normal"/>
    <w:qFormat/>
    <w:rsid w:val="006812CF"/>
    <w:pPr>
      <w:keepNext/>
    </w:pPr>
    <w:rPr>
      <w:b/>
      <w:sz w:val="28"/>
      <w:szCs w:val="28"/>
    </w:rPr>
  </w:style>
  <w:style w:type="paragraph" w:customStyle="1" w:styleId="Equation">
    <w:name w:val="Equation"/>
    <w:basedOn w:val="Normal"/>
    <w:qFormat/>
    <w:rsid w:val="00C519AC"/>
    <w:pPr>
      <w:jc w:val="center"/>
    </w:pPr>
  </w:style>
  <w:style w:type="character" w:customStyle="1" w:styleId="Subscript">
    <w:name w:val="Subscript"/>
    <w:qFormat/>
    <w:rsid w:val="00BF5794"/>
    <w:rPr>
      <w:sz w:val="24"/>
      <w:vertAlign w:val="subscript"/>
    </w:rPr>
  </w:style>
  <w:style w:type="character" w:customStyle="1" w:styleId="Superscript">
    <w:name w:val="Superscript"/>
    <w:qFormat/>
    <w:rsid w:val="00A91C7A"/>
    <w:rPr>
      <w:sz w:val="24"/>
      <w:vertAlign w:val="superscript"/>
    </w:rPr>
  </w:style>
  <w:style w:type="character" w:customStyle="1" w:styleId="Symbol">
    <w:name w:val="Symbol"/>
    <w:qFormat/>
    <w:rsid w:val="00A34E09"/>
    <w:rPr>
      <w:rFonts w:ascii="Symbol" w:hAnsi="Symbol"/>
    </w:rPr>
  </w:style>
  <w:style w:type="character" w:customStyle="1" w:styleId="Subscript-Italic">
    <w:name w:val="Subscript-Italic"/>
    <w:qFormat/>
    <w:rsid w:val="00BF5794"/>
    <w:rPr>
      <w:i/>
      <w:sz w:val="24"/>
      <w:vertAlign w:val="subscript"/>
    </w:rPr>
  </w:style>
  <w:style w:type="character" w:customStyle="1" w:styleId="Superscript-Italic">
    <w:name w:val="Superscript-Italic"/>
    <w:qFormat/>
    <w:rsid w:val="00A91C7A"/>
    <w:rPr>
      <w:i/>
      <w:sz w:val="24"/>
      <w:vertAlign w:val="superscript"/>
    </w:rPr>
  </w:style>
  <w:style w:type="paragraph" w:customStyle="1" w:styleId="Monotype">
    <w:name w:val="Monotype"/>
    <w:basedOn w:val="Normal"/>
    <w:qFormat/>
    <w:rsid w:val="00BA5C6B"/>
    <w:rPr>
      <w:rFonts w:ascii="Courier New" w:hAnsi="Courier New"/>
    </w:rPr>
  </w:style>
  <w:style w:type="character" w:customStyle="1" w:styleId="TableNoteReference">
    <w:name w:val="Table Note Reference"/>
    <w:basedOn w:val="DefaultParagraphFont"/>
    <w:uiPriority w:val="1"/>
    <w:qFormat/>
    <w:rsid w:val="003758FD"/>
    <w:rPr>
      <w:rFonts w:ascii="Times New Roman" w:hAnsi="Times New Roman"/>
      <w:i/>
      <w:sz w:val="16"/>
      <w:vertAlign w:val="superscript"/>
    </w:rPr>
  </w:style>
  <w:style w:type="character" w:customStyle="1" w:styleId="Emphasis-Bold">
    <w:name w:val="Emphasis-Bold"/>
    <w:basedOn w:val="DefaultParagraphFont"/>
    <w:qFormat/>
    <w:rsid w:val="000D2A1B"/>
    <w:rPr>
      <w:b/>
    </w:rPr>
  </w:style>
  <w:style w:type="character" w:customStyle="1" w:styleId="Emphasis-Italic">
    <w:name w:val="Emphasis-Italic"/>
    <w:basedOn w:val="DefaultParagraphFont"/>
    <w:qFormat/>
    <w:rsid w:val="000D2A1B"/>
    <w:rPr>
      <w:i/>
    </w:rPr>
  </w:style>
  <w:style w:type="character" w:customStyle="1" w:styleId="Emphasis-Underline">
    <w:name w:val="Emphasis-Underline"/>
    <w:basedOn w:val="DefaultParagraphFont"/>
    <w:qFormat/>
    <w:rsid w:val="000D2A1B"/>
    <w:rPr>
      <w:u w:val="single"/>
    </w:rPr>
  </w:style>
  <w:style w:type="paragraph" w:customStyle="1" w:styleId="TableTitle">
    <w:name w:val="Table Title"/>
    <w:basedOn w:val="Normal"/>
    <w:next w:val="Normal"/>
    <w:rsid w:val="002D60E0"/>
    <w:pPr>
      <w:keepNext/>
      <w:jc w:val="center"/>
    </w:pPr>
    <w:rPr>
      <w:b/>
      <w:i/>
    </w:rPr>
  </w:style>
  <w:style w:type="paragraph" w:customStyle="1" w:styleId="FigureCaption">
    <w:name w:val="Figure Caption"/>
    <w:basedOn w:val="Normal"/>
    <w:next w:val="Normal"/>
    <w:rsid w:val="002D60E0"/>
    <w:pPr>
      <w:jc w:val="center"/>
    </w:pPr>
    <w:rPr>
      <w:b/>
      <w:i/>
    </w:rPr>
  </w:style>
  <w:style w:type="character" w:customStyle="1" w:styleId="Emphasis-Bold-Italic">
    <w:name w:val="Emphasis-Bold-Italic"/>
    <w:basedOn w:val="DefaultParagraphFont"/>
    <w:qFormat/>
    <w:rsid w:val="00A766CE"/>
    <w:rPr>
      <w:b/>
      <w:i/>
    </w:rPr>
  </w:style>
  <w:style w:type="paragraph" w:styleId="Footer">
    <w:name w:val="footer"/>
    <w:basedOn w:val="Normal"/>
    <w:semiHidden/>
    <w:unhideWhenUsed/>
    <w:locked/>
    <w:rsid w:val="00966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locked/>
    <w:rsid w:val="009662C3"/>
  </w:style>
  <w:style w:type="paragraph" w:customStyle="1" w:styleId="TableNoteText">
    <w:name w:val="Table Note Text"/>
    <w:basedOn w:val="Normal"/>
    <w:next w:val="Normal"/>
    <w:qFormat/>
    <w:rsid w:val="003C1FE8"/>
    <w:rPr>
      <w:sz w:val="16"/>
    </w:rPr>
  </w:style>
  <w:style w:type="paragraph" w:customStyle="1" w:styleId="Center">
    <w:name w:val="Center"/>
    <w:basedOn w:val="Normal"/>
    <w:next w:val="Normal"/>
    <w:qFormat/>
    <w:rsid w:val="00D400A8"/>
    <w:pPr>
      <w:jc w:val="center"/>
    </w:pPr>
  </w:style>
  <w:style w:type="paragraph" w:customStyle="1" w:styleId="Justified">
    <w:name w:val="Justified"/>
    <w:basedOn w:val="Normal"/>
    <w:qFormat/>
    <w:rsid w:val="00474C22"/>
    <w:pPr>
      <w:jc w:val="both"/>
    </w:pPr>
  </w:style>
  <w:style w:type="table" w:styleId="TableGrid">
    <w:name w:val="Table Grid"/>
    <w:basedOn w:val="TableNormal"/>
    <w:rsid w:val="00C85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BorderlessTable">
    <w:name w:val="Borderless Table"/>
    <w:basedOn w:val="TableNormal"/>
    <w:uiPriority w:val="99"/>
    <w:rsid w:val="009834C9"/>
    <w:tblPr/>
  </w:style>
  <w:style w:type="table" w:customStyle="1" w:styleId="TableGridCenter">
    <w:name w:val="Table Grid Center"/>
    <w:basedOn w:val="TableGrid"/>
    <w:uiPriority w:val="99"/>
    <w:qFormat/>
    <w:rsid w:val="005064D6"/>
    <w:tblPr>
      <w:jc w:val="center"/>
    </w:tblPr>
    <w:trPr>
      <w:jc w:val="center"/>
    </w:trPr>
  </w:style>
  <w:style w:type="table" w:customStyle="1" w:styleId="BorderlessTableCenter">
    <w:name w:val="Borderless Table Center"/>
    <w:basedOn w:val="TableNormal"/>
    <w:uiPriority w:val="99"/>
    <w:rsid w:val="00EB29A5"/>
    <w:tblPr>
      <w:jc w:val="center"/>
    </w:tblPr>
    <w:trPr>
      <w:jc w:val="center"/>
    </w:trPr>
    <w:tcPr>
      <w:vAlign w:val="center"/>
    </w:tcPr>
  </w:style>
  <w:style w:type="paragraph" w:customStyle="1" w:styleId="DefinitionTerm">
    <w:name w:val="Definition Term"/>
    <w:basedOn w:val="Normal"/>
    <w:next w:val="Definition"/>
    <w:qFormat/>
    <w:rsid w:val="007A7560"/>
    <w:pPr>
      <w:spacing w:after="0"/>
    </w:pPr>
    <w:rPr>
      <w:b/>
    </w:rPr>
  </w:style>
  <w:style w:type="paragraph" w:customStyle="1" w:styleId="Definition">
    <w:name w:val="Definition"/>
    <w:basedOn w:val="Normal"/>
    <w:next w:val="Normal"/>
    <w:qFormat/>
    <w:rsid w:val="00E01BD3"/>
    <w:pPr>
      <w:ind w:left="720" w:right="720"/>
    </w:pPr>
  </w:style>
  <w:style w:type="paragraph" w:customStyle="1" w:styleId="Figure">
    <w:name w:val="Figure"/>
    <w:basedOn w:val="Normal"/>
    <w:next w:val="FigureCaption"/>
    <w:qFormat/>
    <w:rsid w:val="00C85D3B"/>
    <w:pPr>
      <w:keepNext/>
      <w:jc w:val="center"/>
    </w:pPr>
  </w:style>
  <w:style w:type="paragraph" w:customStyle="1" w:styleId="NormalTableText">
    <w:name w:val="Normal Table Text"/>
    <w:basedOn w:val="Normal"/>
    <w:qFormat/>
    <w:rsid w:val="00E21ADE"/>
    <w:pPr>
      <w:spacing w:after="0"/>
    </w:pPr>
  </w:style>
  <w:style w:type="paragraph" w:styleId="BalloonText">
    <w:name w:val="Balloon Text"/>
    <w:basedOn w:val="Normal"/>
    <w:link w:val="BalloonTextChar"/>
    <w:semiHidden/>
    <w:locked/>
    <w:rsid w:val="00FD34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6FA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824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1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CACAD"/>
                                <w:left w:val="single" w:sz="6" w:space="0" w:color="ACACAD"/>
                                <w:bottom w:val="single" w:sz="6" w:space="8" w:color="ACACAD"/>
                                <w:right w:val="single" w:sz="6" w:space="0" w:color="ACACAD"/>
                              </w:divBdr>
                              <w:divsChild>
                                <w:div w:id="3281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2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CACAD"/>
                                <w:left w:val="single" w:sz="6" w:space="0" w:color="ACACAD"/>
                                <w:bottom w:val="single" w:sz="6" w:space="8" w:color="ACACAD"/>
                                <w:right w:val="single" w:sz="6" w:space="0" w:color="ACACAD"/>
                              </w:divBdr>
                              <w:divsChild>
                                <w:div w:id="13946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3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CACAD"/>
                                <w:left w:val="single" w:sz="6" w:space="0" w:color="ACACAD"/>
                                <w:bottom w:val="single" w:sz="6" w:space="8" w:color="ACACAD"/>
                                <w:right w:val="single" w:sz="6" w:space="0" w:color="ACACAD"/>
                              </w:divBdr>
                              <w:divsChild>
                                <w:div w:id="7192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4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CACAD"/>
                                <w:left w:val="single" w:sz="6" w:space="0" w:color="ACACAD"/>
                                <w:bottom w:val="single" w:sz="6" w:space="8" w:color="ACACAD"/>
                                <w:right w:val="single" w:sz="6" w:space="0" w:color="ACACAD"/>
                              </w:divBdr>
                              <w:divsChild>
                                <w:div w:id="2325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hicagomanualofstyle.org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rdon\Download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44A2-FC5E-4B87-941B-407BC025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Number</vt:lpstr>
    </vt:vector>
  </TitlesOfParts>
  <Company>SAE International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Number</dc:title>
  <dc:creator>Dan Cordon</dc:creator>
  <cp:lastModifiedBy>Steve Beyerlein</cp:lastModifiedBy>
  <cp:revision>4</cp:revision>
  <cp:lastPrinted>2012-10-17T14:52:00Z</cp:lastPrinted>
  <dcterms:created xsi:type="dcterms:W3CDTF">2020-07-16T00:55:00Z</dcterms:created>
  <dcterms:modified xsi:type="dcterms:W3CDTF">2020-07-16T00:56:00Z</dcterms:modified>
</cp:coreProperties>
</file>